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11111">
      <w:pPr>
        <w:spacing w:line="640" w:lineRule="exact"/>
        <w:rPr>
          <w:rFonts w:hint="default" w:ascii="Times New Roman" w:hAnsi="Times New Roman" w:eastAsia="方正黑体_GBK" w:cs="Times New Roman"/>
          <w:color w:val="auto"/>
          <w:sz w:val="32"/>
          <w:szCs w:val="32"/>
        </w:rPr>
      </w:pPr>
    </w:p>
    <w:p w14:paraId="7615E949">
      <w:pPr>
        <w:spacing w:line="640" w:lineRule="exact"/>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附件1</w:t>
      </w:r>
    </w:p>
    <w:p w14:paraId="69021EC2">
      <w:pPr>
        <w:pStyle w:val="2"/>
        <w:rPr>
          <w:rFonts w:hint="default" w:ascii="Times New Roman" w:hAnsi="Times New Roman" w:cs="Times New Roman"/>
          <w:color w:val="auto"/>
        </w:rPr>
      </w:pPr>
    </w:p>
    <w:p w14:paraId="368C3C41">
      <w:pPr>
        <w:jc w:val="center"/>
        <w:rPr>
          <w:rFonts w:hint="eastAsia" w:ascii="方正小标宋_GBK" w:hAnsi="方正小标宋_GBK" w:eastAsia="方正小标宋_GBK" w:cs="方正小标宋_GBK"/>
          <w:color w:val="auto"/>
          <w:sz w:val="44"/>
          <w:szCs w:val="44"/>
        </w:rPr>
      </w:pPr>
      <w:bookmarkStart w:id="0" w:name="bookmark46"/>
      <w:bookmarkStart w:id="1" w:name="bookmark48"/>
      <w:bookmarkStart w:id="2" w:name="bookmark47"/>
      <w:r>
        <w:rPr>
          <w:rFonts w:hint="eastAsia" w:ascii="方正小标宋_GBK" w:hAnsi="方正小标宋_GBK" w:eastAsia="方正小标宋_GBK" w:cs="方正小标宋_GBK"/>
          <w:color w:val="auto"/>
          <w:sz w:val="44"/>
          <w:szCs w:val="44"/>
        </w:rPr>
        <w:t>202</w:t>
      </w:r>
      <w:r>
        <w:rPr>
          <w:rFonts w:hint="eastAsia" w:ascii="方正小标宋_GBK" w:hAnsi="方正小标宋_GBK" w:eastAsia="方正小标宋_GBK" w:cs="方正小标宋_GBK"/>
          <w:color w:val="auto"/>
          <w:sz w:val="44"/>
          <w:szCs w:val="44"/>
          <w:lang w:val="en-US" w:eastAsia="zh-CN"/>
        </w:rPr>
        <w:t>5</w:t>
      </w:r>
      <w:r>
        <w:rPr>
          <w:rFonts w:hint="eastAsia" w:ascii="方正小标宋_GBK" w:hAnsi="方正小标宋_GBK" w:eastAsia="方正小标宋_GBK" w:cs="方正小标宋_GBK"/>
          <w:color w:val="auto"/>
          <w:sz w:val="44"/>
          <w:szCs w:val="44"/>
        </w:rPr>
        <w:t>年度“美好家园”小区申报表</w:t>
      </w:r>
      <w:bookmarkEnd w:id="0"/>
      <w:bookmarkEnd w:id="1"/>
      <w:bookmarkEnd w:id="2"/>
    </w:p>
    <w:tbl>
      <w:tblPr>
        <w:tblStyle w:val="7"/>
        <w:tblW w:w="0" w:type="auto"/>
        <w:jc w:val="center"/>
        <w:tblLayout w:type="fixed"/>
        <w:tblCellMar>
          <w:top w:w="0" w:type="dxa"/>
          <w:left w:w="10" w:type="dxa"/>
          <w:bottom w:w="0" w:type="dxa"/>
          <w:right w:w="10" w:type="dxa"/>
        </w:tblCellMar>
      </w:tblPr>
      <w:tblGrid>
        <w:gridCol w:w="1558"/>
        <w:gridCol w:w="39"/>
        <w:gridCol w:w="1667"/>
        <w:gridCol w:w="1042"/>
        <w:gridCol w:w="507"/>
        <w:gridCol w:w="1336"/>
        <w:gridCol w:w="684"/>
        <w:gridCol w:w="2116"/>
        <w:gridCol w:w="15"/>
      </w:tblGrid>
      <w:tr w14:paraId="5A5B1D26">
        <w:tblPrEx>
          <w:tblCellMar>
            <w:top w:w="0" w:type="dxa"/>
            <w:left w:w="10" w:type="dxa"/>
            <w:bottom w:w="0" w:type="dxa"/>
            <w:right w:w="10" w:type="dxa"/>
          </w:tblCellMar>
        </w:tblPrEx>
        <w:trPr>
          <w:gridAfter w:val="1"/>
          <w:wAfter w:w="15" w:type="dxa"/>
          <w:trHeight w:val="850" w:hRule="exact"/>
          <w:jc w:val="center"/>
        </w:trPr>
        <w:tc>
          <w:tcPr>
            <w:tcW w:w="1558" w:type="dxa"/>
            <w:vMerge w:val="restart"/>
            <w:tcBorders>
              <w:top w:val="single" w:color="auto" w:sz="4" w:space="0"/>
              <w:left w:val="single" w:color="auto" w:sz="4" w:space="0"/>
            </w:tcBorders>
            <w:shd w:val="clear" w:color="auto" w:fill="FFFFFF"/>
            <w:vAlign w:val="center"/>
          </w:tcPr>
          <w:p w14:paraId="4E6F7B20">
            <w:pPr>
              <w:pStyle w:val="13"/>
              <w:spacing w:line="590" w:lineRule="exact"/>
              <w:ind w:firstLine="160"/>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基本信息</w:t>
            </w:r>
          </w:p>
        </w:tc>
        <w:tc>
          <w:tcPr>
            <w:tcW w:w="1706" w:type="dxa"/>
            <w:gridSpan w:val="2"/>
            <w:tcBorders>
              <w:top w:val="single" w:color="auto" w:sz="4" w:space="0"/>
              <w:left w:val="single" w:color="auto" w:sz="4" w:space="0"/>
            </w:tcBorders>
            <w:shd w:val="clear" w:color="auto" w:fill="FFFFFF"/>
            <w:vAlign w:val="center"/>
          </w:tcPr>
          <w:p w14:paraId="67D2F8F7">
            <w:pPr>
              <w:pStyle w:val="13"/>
              <w:spacing w:line="590" w:lineRule="exact"/>
              <w:ind w:firstLine="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小区名称</w:t>
            </w:r>
          </w:p>
        </w:tc>
        <w:tc>
          <w:tcPr>
            <w:tcW w:w="5685" w:type="dxa"/>
            <w:gridSpan w:val="5"/>
            <w:tcBorders>
              <w:top w:val="single" w:color="auto" w:sz="4" w:space="0"/>
              <w:left w:val="single" w:color="auto" w:sz="4" w:space="0"/>
              <w:right w:val="single" w:color="auto" w:sz="4" w:space="0"/>
            </w:tcBorders>
            <w:shd w:val="clear" w:color="auto" w:fill="FFFFFF"/>
            <w:vAlign w:val="center"/>
          </w:tcPr>
          <w:p w14:paraId="6351616D">
            <w:pPr>
              <w:pStyle w:val="13"/>
              <w:spacing w:line="590" w:lineRule="exact"/>
              <w:ind w:firstLine="0"/>
              <w:jc w:val="center"/>
              <w:rPr>
                <w:rFonts w:hint="default" w:ascii="Times New Roman" w:hAnsi="Times New Roman" w:eastAsia="仿宋_GB2312" w:cs="Times New Roman"/>
                <w:color w:val="auto"/>
                <w:sz w:val="24"/>
                <w:szCs w:val="24"/>
              </w:rPr>
            </w:pPr>
          </w:p>
        </w:tc>
      </w:tr>
      <w:tr w14:paraId="61F3F5F9">
        <w:tblPrEx>
          <w:tblCellMar>
            <w:top w:w="0" w:type="dxa"/>
            <w:left w:w="10" w:type="dxa"/>
            <w:bottom w:w="0" w:type="dxa"/>
            <w:right w:w="10" w:type="dxa"/>
          </w:tblCellMar>
        </w:tblPrEx>
        <w:trPr>
          <w:gridAfter w:val="1"/>
          <w:wAfter w:w="15" w:type="dxa"/>
          <w:trHeight w:val="1217" w:hRule="exact"/>
          <w:jc w:val="center"/>
        </w:trPr>
        <w:tc>
          <w:tcPr>
            <w:tcW w:w="1558" w:type="dxa"/>
            <w:vMerge w:val="continue"/>
            <w:tcBorders>
              <w:left w:val="single" w:color="auto" w:sz="4" w:space="0"/>
            </w:tcBorders>
            <w:shd w:val="clear" w:color="auto" w:fill="FFFFFF"/>
            <w:vAlign w:val="center"/>
          </w:tcPr>
          <w:p w14:paraId="2065B471">
            <w:pPr>
              <w:spacing w:line="590" w:lineRule="exact"/>
              <w:rPr>
                <w:rFonts w:hint="default" w:ascii="Times New Roman" w:hAnsi="Times New Roman" w:eastAsia="仿宋_GB2312" w:cs="Times New Roman"/>
                <w:color w:val="auto"/>
                <w:sz w:val="24"/>
                <w:szCs w:val="24"/>
              </w:rPr>
            </w:pPr>
          </w:p>
        </w:tc>
        <w:tc>
          <w:tcPr>
            <w:tcW w:w="1706" w:type="dxa"/>
            <w:gridSpan w:val="2"/>
            <w:tcBorders>
              <w:top w:val="single" w:color="auto" w:sz="4" w:space="0"/>
              <w:left w:val="single" w:color="auto" w:sz="4" w:space="0"/>
            </w:tcBorders>
            <w:shd w:val="clear" w:color="auto" w:fill="FFFFFF"/>
            <w:vAlign w:val="center"/>
          </w:tcPr>
          <w:p w14:paraId="14568627">
            <w:pPr>
              <w:pStyle w:val="13"/>
              <w:spacing w:line="590" w:lineRule="exact"/>
              <w:ind w:firstLine="0"/>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小区地址</w:t>
            </w:r>
          </w:p>
        </w:tc>
        <w:tc>
          <w:tcPr>
            <w:tcW w:w="5685" w:type="dxa"/>
            <w:gridSpan w:val="5"/>
            <w:tcBorders>
              <w:top w:val="single" w:color="auto" w:sz="4" w:space="0"/>
              <w:left w:val="single" w:color="auto" w:sz="4" w:space="0"/>
              <w:right w:val="single" w:color="auto" w:sz="4" w:space="0"/>
            </w:tcBorders>
            <w:shd w:val="clear" w:color="auto" w:fill="FFFFFF"/>
            <w:vAlign w:val="bottom"/>
          </w:tcPr>
          <w:p w14:paraId="2B0336EC">
            <w:pPr>
              <w:pStyle w:val="13"/>
              <w:spacing w:line="590" w:lineRule="exact"/>
              <w:ind w:firstLine="460"/>
              <w:jc w:val="left"/>
              <w:rPr>
                <w:rFonts w:hint="default" w:ascii="Times New Roman" w:hAnsi="Times New Roman" w:eastAsia="仿宋_GB2312" w:cs="Times New Roman"/>
                <w:color w:val="auto"/>
                <w:sz w:val="24"/>
                <w:szCs w:val="24"/>
              </w:rPr>
            </w:pPr>
          </w:p>
        </w:tc>
      </w:tr>
      <w:tr w14:paraId="161552FF">
        <w:tblPrEx>
          <w:tblCellMar>
            <w:top w:w="0" w:type="dxa"/>
            <w:left w:w="10" w:type="dxa"/>
            <w:bottom w:w="0" w:type="dxa"/>
            <w:right w:w="10" w:type="dxa"/>
          </w:tblCellMar>
        </w:tblPrEx>
        <w:trPr>
          <w:gridAfter w:val="1"/>
          <w:wAfter w:w="15" w:type="dxa"/>
          <w:trHeight w:val="655" w:hRule="exact"/>
          <w:jc w:val="center"/>
        </w:trPr>
        <w:tc>
          <w:tcPr>
            <w:tcW w:w="1558" w:type="dxa"/>
            <w:vMerge w:val="continue"/>
            <w:tcBorders>
              <w:left w:val="single" w:color="auto" w:sz="4" w:space="0"/>
              <w:bottom w:val="single" w:color="auto" w:sz="4" w:space="0"/>
            </w:tcBorders>
            <w:shd w:val="clear" w:color="auto" w:fill="FFFFFF"/>
            <w:vAlign w:val="center"/>
          </w:tcPr>
          <w:p w14:paraId="5CA83D54">
            <w:pPr>
              <w:spacing w:line="590" w:lineRule="exact"/>
              <w:rPr>
                <w:rFonts w:hint="default" w:ascii="Times New Roman" w:hAnsi="Times New Roman" w:eastAsia="仿宋_GB2312" w:cs="Times New Roman"/>
                <w:color w:val="auto"/>
                <w:sz w:val="24"/>
                <w:szCs w:val="24"/>
              </w:rPr>
            </w:pPr>
          </w:p>
        </w:tc>
        <w:tc>
          <w:tcPr>
            <w:tcW w:w="1706" w:type="dxa"/>
            <w:gridSpan w:val="2"/>
            <w:tcBorders>
              <w:top w:val="single" w:color="auto" w:sz="4" w:space="0"/>
              <w:left w:val="single" w:color="auto" w:sz="4" w:space="0"/>
            </w:tcBorders>
            <w:shd w:val="clear" w:color="auto" w:fill="FFFFFF"/>
            <w:vAlign w:val="center"/>
          </w:tcPr>
          <w:p w14:paraId="6C860463">
            <w:pPr>
              <w:pStyle w:val="13"/>
              <w:spacing w:line="590" w:lineRule="exact"/>
              <w:ind w:firstLine="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物业</w:t>
            </w:r>
            <w:r>
              <w:rPr>
                <w:rFonts w:hint="default" w:ascii="Times New Roman" w:hAnsi="Times New Roman" w:eastAsia="仿宋_GB2312" w:cs="Times New Roman"/>
                <w:color w:val="auto"/>
                <w:sz w:val="24"/>
                <w:szCs w:val="24"/>
                <w:lang w:eastAsia="zh-CN"/>
              </w:rPr>
              <w:t>服务</w:t>
            </w:r>
            <w:r>
              <w:rPr>
                <w:rFonts w:hint="default" w:ascii="Times New Roman" w:hAnsi="Times New Roman" w:eastAsia="仿宋_GB2312" w:cs="Times New Roman"/>
                <w:color w:val="auto"/>
                <w:sz w:val="24"/>
                <w:szCs w:val="24"/>
              </w:rPr>
              <w:t>企业</w:t>
            </w:r>
          </w:p>
        </w:tc>
        <w:tc>
          <w:tcPr>
            <w:tcW w:w="5685" w:type="dxa"/>
            <w:gridSpan w:val="5"/>
            <w:tcBorders>
              <w:top w:val="single" w:color="auto" w:sz="4" w:space="0"/>
              <w:left w:val="single" w:color="auto" w:sz="4" w:space="0"/>
              <w:right w:val="single" w:color="auto" w:sz="4" w:space="0"/>
            </w:tcBorders>
            <w:shd w:val="clear" w:color="auto" w:fill="FFFFFF"/>
          </w:tcPr>
          <w:p w14:paraId="03D2D404">
            <w:pPr>
              <w:spacing w:line="590" w:lineRule="exact"/>
              <w:rPr>
                <w:rFonts w:hint="default" w:ascii="Times New Roman" w:hAnsi="Times New Roman" w:eastAsia="仿宋_GB2312" w:cs="Times New Roman"/>
                <w:color w:val="auto"/>
                <w:sz w:val="24"/>
                <w:szCs w:val="24"/>
              </w:rPr>
            </w:pPr>
          </w:p>
        </w:tc>
      </w:tr>
      <w:tr w14:paraId="7CE5A7A5">
        <w:tblPrEx>
          <w:tblCellMar>
            <w:top w:w="0" w:type="dxa"/>
            <w:left w:w="10" w:type="dxa"/>
            <w:bottom w:w="0" w:type="dxa"/>
            <w:right w:w="10" w:type="dxa"/>
          </w:tblCellMar>
        </w:tblPrEx>
        <w:trPr>
          <w:gridAfter w:val="1"/>
          <w:wAfter w:w="15" w:type="dxa"/>
          <w:trHeight w:val="667" w:hRule="exact"/>
          <w:jc w:val="center"/>
        </w:trPr>
        <w:tc>
          <w:tcPr>
            <w:tcW w:w="1558" w:type="dxa"/>
            <w:tcBorders>
              <w:top w:val="single" w:color="auto" w:sz="4" w:space="0"/>
              <w:left w:val="single" w:color="auto" w:sz="4" w:space="0"/>
            </w:tcBorders>
            <w:shd w:val="clear" w:color="auto" w:fill="FFFFFF"/>
            <w:vAlign w:val="center"/>
          </w:tcPr>
          <w:p w14:paraId="2281DBF6">
            <w:pPr>
              <w:spacing w:line="32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val="zh-TW" w:eastAsia="zh-TW" w:bidi="zh-TW"/>
              </w:rPr>
              <w:t>物业服务企业联系人姓名</w:t>
            </w:r>
          </w:p>
        </w:tc>
        <w:tc>
          <w:tcPr>
            <w:tcW w:w="1706" w:type="dxa"/>
            <w:gridSpan w:val="2"/>
            <w:tcBorders>
              <w:top w:val="single" w:color="auto" w:sz="4" w:space="0"/>
              <w:left w:val="single" w:color="auto" w:sz="4" w:space="0"/>
            </w:tcBorders>
            <w:shd w:val="clear" w:color="auto" w:fill="FFFFFF"/>
            <w:vAlign w:val="center"/>
          </w:tcPr>
          <w:p w14:paraId="599DD3D8">
            <w:pPr>
              <w:pStyle w:val="13"/>
              <w:spacing w:line="320" w:lineRule="exact"/>
              <w:ind w:firstLine="0"/>
              <w:jc w:val="center"/>
              <w:rPr>
                <w:rFonts w:hint="default" w:ascii="Times New Roman" w:hAnsi="Times New Roman" w:eastAsia="仿宋_GB2312" w:cs="Times New Roman"/>
                <w:color w:val="auto"/>
                <w:sz w:val="24"/>
                <w:szCs w:val="24"/>
              </w:rPr>
            </w:pPr>
          </w:p>
        </w:tc>
        <w:tc>
          <w:tcPr>
            <w:tcW w:w="1549" w:type="dxa"/>
            <w:gridSpan w:val="2"/>
            <w:tcBorders>
              <w:top w:val="single" w:color="auto" w:sz="4" w:space="0"/>
              <w:left w:val="single" w:color="auto" w:sz="4" w:space="0"/>
              <w:right w:val="single" w:color="auto" w:sz="4" w:space="0"/>
            </w:tcBorders>
            <w:shd w:val="clear" w:color="auto" w:fill="FFFFFF"/>
            <w:vAlign w:val="center"/>
          </w:tcPr>
          <w:p w14:paraId="430DC274">
            <w:pPr>
              <w:spacing w:line="320" w:lineRule="exact"/>
              <w:rPr>
                <w:rFonts w:hint="default" w:ascii="Times New Roman" w:hAnsi="Times New Roman" w:eastAsia="仿宋_GB2312" w:cs="Times New Roman"/>
                <w:color w:val="auto"/>
                <w:sz w:val="24"/>
                <w:szCs w:val="24"/>
                <w:lang w:val="zh-TW" w:bidi="zh-TW"/>
              </w:rPr>
            </w:pPr>
            <w:r>
              <w:rPr>
                <w:rFonts w:hint="default" w:ascii="Times New Roman" w:hAnsi="Times New Roman" w:eastAsia="仿宋_GB2312" w:cs="Times New Roman"/>
                <w:color w:val="auto"/>
                <w:sz w:val="24"/>
                <w:szCs w:val="24"/>
                <w:lang w:val="zh-TW" w:bidi="zh-TW"/>
              </w:rPr>
              <w:t>物业服务企业联系人电话</w:t>
            </w:r>
          </w:p>
        </w:tc>
        <w:tc>
          <w:tcPr>
            <w:tcW w:w="4136" w:type="dxa"/>
            <w:gridSpan w:val="3"/>
            <w:tcBorders>
              <w:top w:val="single" w:color="auto" w:sz="4" w:space="0"/>
              <w:left w:val="single" w:color="auto" w:sz="4" w:space="0"/>
              <w:right w:val="single" w:color="auto" w:sz="4" w:space="0"/>
            </w:tcBorders>
            <w:shd w:val="clear" w:color="auto" w:fill="FFFFFF"/>
            <w:vAlign w:val="center"/>
          </w:tcPr>
          <w:p w14:paraId="4EED5489">
            <w:pPr>
              <w:spacing w:line="320" w:lineRule="exact"/>
              <w:rPr>
                <w:rFonts w:hint="default" w:ascii="Times New Roman" w:hAnsi="Times New Roman" w:eastAsia="仿宋_GB2312" w:cs="Times New Roman"/>
                <w:color w:val="auto"/>
                <w:sz w:val="24"/>
                <w:szCs w:val="24"/>
                <w:lang w:val="zh-TW" w:eastAsia="zh-TW" w:bidi="zh-TW"/>
              </w:rPr>
            </w:pPr>
          </w:p>
        </w:tc>
      </w:tr>
      <w:tr w14:paraId="1DE04A43">
        <w:tblPrEx>
          <w:tblCellMar>
            <w:top w:w="0" w:type="dxa"/>
            <w:left w:w="10" w:type="dxa"/>
            <w:bottom w:w="0" w:type="dxa"/>
            <w:right w:w="10" w:type="dxa"/>
          </w:tblCellMar>
        </w:tblPrEx>
        <w:trPr>
          <w:gridAfter w:val="1"/>
          <w:wAfter w:w="15" w:type="dxa"/>
          <w:trHeight w:val="1275" w:hRule="exact"/>
          <w:jc w:val="center"/>
        </w:trPr>
        <w:tc>
          <w:tcPr>
            <w:tcW w:w="1558" w:type="dxa"/>
            <w:tcBorders>
              <w:top w:val="single" w:color="auto" w:sz="4" w:space="0"/>
              <w:left w:val="single" w:color="auto" w:sz="4" w:space="0"/>
            </w:tcBorders>
            <w:shd w:val="clear" w:color="auto" w:fill="FFFFFF"/>
            <w:vAlign w:val="center"/>
          </w:tcPr>
          <w:p w14:paraId="1FBB7E80">
            <w:pPr>
              <w:spacing w:line="32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val="zh-TW" w:bidi="zh-TW"/>
              </w:rPr>
              <w:t>业主委员会</w:t>
            </w:r>
            <w:r>
              <w:rPr>
                <w:rFonts w:hint="default" w:ascii="Times New Roman" w:hAnsi="Times New Roman" w:eastAsia="仿宋_GB2312" w:cs="Times New Roman"/>
                <w:color w:val="auto"/>
                <w:sz w:val="24"/>
                <w:szCs w:val="24"/>
                <w:lang w:val="zh-TW" w:eastAsia="zh-CN" w:bidi="zh-TW"/>
              </w:rPr>
              <w:t>（物业管理委员会）</w:t>
            </w:r>
            <w:r>
              <w:rPr>
                <w:rFonts w:hint="default" w:ascii="Times New Roman" w:hAnsi="Times New Roman" w:eastAsia="仿宋_GB2312" w:cs="Times New Roman"/>
                <w:color w:val="auto"/>
                <w:sz w:val="24"/>
                <w:szCs w:val="24"/>
                <w:lang w:val="zh-TW" w:eastAsia="zh-TW" w:bidi="zh-TW"/>
              </w:rPr>
              <w:t>联系人姓名</w:t>
            </w:r>
          </w:p>
        </w:tc>
        <w:tc>
          <w:tcPr>
            <w:tcW w:w="1706" w:type="dxa"/>
            <w:gridSpan w:val="2"/>
            <w:tcBorders>
              <w:top w:val="single" w:color="auto" w:sz="4" w:space="0"/>
              <w:left w:val="single" w:color="auto" w:sz="4" w:space="0"/>
            </w:tcBorders>
            <w:shd w:val="clear" w:color="auto" w:fill="FFFFFF"/>
            <w:vAlign w:val="center"/>
          </w:tcPr>
          <w:p w14:paraId="4D863C57">
            <w:pPr>
              <w:pStyle w:val="13"/>
              <w:spacing w:line="320" w:lineRule="exact"/>
              <w:ind w:firstLine="0"/>
              <w:jc w:val="center"/>
              <w:rPr>
                <w:rFonts w:hint="default" w:ascii="Times New Roman" w:hAnsi="Times New Roman" w:eastAsia="仿宋_GB2312" w:cs="Times New Roman"/>
                <w:color w:val="auto"/>
                <w:sz w:val="24"/>
                <w:szCs w:val="24"/>
              </w:rPr>
            </w:pPr>
          </w:p>
        </w:tc>
        <w:tc>
          <w:tcPr>
            <w:tcW w:w="1549" w:type="dxa"/>
            <w:gridSpan w:val="2"/>
            <w:tcBorders>
              <w:top w:val="single" w:color="auto" w:sz="4" w:space="0"/>
              <w:left w:val="single" w:color="auto" w:sz="4" w:space="0"/>
              <w:right w:val="single" w:color="auto" w:sz="4" w:space="0"/>
            </w:tcBorders>
            <w:shd w:val="clear" w:color="auto" w:fill="FFFFFF"/>
            <w:vAlign w:val="center"/>
          </w:tcPr>
          <w:p w14:paraId="19BD6058">
            <w:pPr>
              <w:spacing w:line="320" w:lineRule="exact"/>
              <w:rPr>
                <w:rFonts w:hint="default" w:ascii="Times New Roman" w:hAnsi="Times New Roman" w:eastAsia="仿宋_GB2312" w:cs="Times New Roman"/>
                <w:color w:val="auto"/>
                <w:sz w:val="24"/>
                <w:szCs w:val="24"/>
                <w:lang w:bidi="zh-TW"/>
              </w:rPr>
            </w:pPr>
            <w:r>
              <w:rPr>
                <w:rFonts w:hint="default" w:ascii="Times New Roman" w:hAnsi="Times New Roman" w:eastAsia="仿宋_GB2312" w:cs="Times New Roman"/>
                <w:color w:val="auto"/>
                <w:sz w:val="24"/>
                <w:szCs w:val="24"/>
                <w:lang w:val="zh-TW" w:bidi="zh-TW"/>
              </w:rPr>
              <w:t>业主委员会</w:t>
            </w:r>
            <w:r>
              <w:rPr>
                <w:rFonts w:hint="default" w:ascii="Times New Roman" w:hAnsi="Times New Roman" w:eastAsia="仿宋_GB2312" w:cs="Times New Roman"/>
                <w:color w:val="auto"/>
                <w:sz w:val="24"/>
                <w:szCs w:val="24"/>
                <w:lang w:val="zh-TW" w:eastAsia="zh-CN" w:bidi="zh-TW"/>
              </w:rPr>
              <w:t>（物业管理委员会）</w:t>
            </w:r>
            <w:r>
              <w:rPr>
                <w:rFonts w:hint="default" w:ascii="Times New Roman" w:hAnsi="Times New Roman" w:eastAsia="仿宋_GB2312" w:cs="Times New Roman"/>
                <w:color w:val="auto"/>
                <w:sz w:val="24"/>
                <w:szCs w:val="24"/>
                <w:lang w:val="zh-TW" w:bidi="zh-TW"/>
              </w:rPr>
              <w:t>联系人电话</w:t>
            </w:r>
          </w:p>
        </w:tc>
        <w:tc>
          <w:tcPr>
            <w:tcW w:w="4136" w:type="dxa"/>
            <w:gridSpan w:val="3"/>
            <w:tcBorders>
              <w:top w:val="single" w:color="auto" w:sz="4" w:space="0"/>
              <w:left w:val="single" w:color="auto" w:sz="4" w:space="0"/>
              <w:right w:val="single" w:color="auto" w:sz="4" w:space="0"/>
            </w:tcBorders>
            <w:shd w:val="clear" w:color="auto" w:fill="FFFFFF"/>
            <w:vAlign w:val="center"/>
          </w:tcPr>
          <w:p w14:paraId="58C28432">
            <w:pPr>
              <w:spacing w:line="320" w:lineRule="exact"/>
              <w:rPr>
                <w:rFonts w:hint="default" w:ascii="Times New Roman" w:hAnsi="Times New Roman" w:eastAsia="仿宋_GB2312" w:cs="Times New Roman"/>
                <w:color w:val="auto"/>
                <w:sz w:val="24"/>
                <w:szCs w:val="24"/>
                <w:lang w:val="zh-TW" w:eastAsia="zh-TW" w:bidi="zh-TW"/>
              </w:rPr>
            </w:pPr>
          </w:p>
        </w:tc>
      </w:tr>
      <w:tr w14:paraId="760FBBE0">
        <w:tblPrEx>
          <w:tblCellMar>
            <w:top w:w="0" w:type="dxa"/>
            <w:left w:w="10" w:type="dxa"/>
            <w:bottom w:w="0" w:type="dxa"/>
            <w:right w:w="10" w:type="dxa"/>
          </w:tblCellMar>
        </w:tblPrEx>
        <w:trPr>
          <w:gridAfter w:val="1"/>
          <w:wAfter w:w="15" w:type="dxa"/>
          <w:trHeight w:val="655" w:hRule="exact"/>
          <w:jc w:val="center"/>
        </w:trPr>
        <w:tc>
          <w:tcPr>
            <w:tcW w:w="1558" w:type="dxa"/>
            <w:tcBorders>
              <w:top w:val="single" w:color="auto" w:sz="4" w:space="0"/>
              <w:left w:val="single" w:color="auto" w:sz="4" w:space="0"/>
            </w:tcBorders>
            <w:shd w:val="clear" w:color="auto" w:fill="FFFFFF"/>
            <w:vAlign w:val="center"/>
          </w:tcPr>
          <w:p w14:paraId="1BA2221C">
            <w:pPr>
              <w:spacing w:line="320" w:lineRule="exact"/>
              <w:ind w:firstLine="240" w:firstLineChars="100"/>
              <w:rPr>
                <w:rFonts w:hint="default" w:ascii="Times New Roman" w:hAnsi="Times New Roman" w:eastAsia="仿宋_GB2312" w:cs="Times New Roman"/>
                <w:color w:val="auto"/>
                <w:sz w:val="24"/>
                <w:szCs w:val="24"/>
                <w:lang w:val="zh-TW" w:bidi="zh-TW"/>
              </w:rPr>
            </w:pPr>
            <w:r>
              <w:rPr>
                <w:rFonts w:hint="default" w:ascii="Times New Roman" w:hAnsi="Times New Roman" w:eastAsia="仿宋_GB2312" w:cs="Times New Roman"/>
                <w:color w:val="auto"/>
                <w:sz w:val="24"/>
                <w:szCs w:val="24"/>
                <w:lang w:val="zh-TW" w:bidi="zh-TW"/>
              </w:rPr>
              <w:t>属地社区</w:t>
            </w:r>
          </w:p>
          <w:p w14:paraId="1F18E42E">
            <w:pPr>
              <w:spacing w:line="32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val="zh-TW" w:eastAsia="zh-TW" w:bidi="zh-TW"/>
              </w:rPr>
              <w:t>联系人姓名</w:t>
            </w:r>
          </w:p>
        </w:tc>
        <w:tc>
          <w:tcPr>
            <w:tcW w:w="1706" w:type="dxa"/>
            <w:gridSpan w:val="2"/>
            <w:tcBorders>
              <w:top w:val="single" w:color="auto" w:sz="4" w:space="0"/>
              <w:left w:val="single" w:color="auto" w:sz="4" w:space="0"/>
            </w:tcBorders>
            <w:shd w:val="clear" w:color="auto" w:fill="FFFFFF"/>
            <w:vAlign w:val="center"/>
          </w:tcPr>
          <w:p w14:paraId="7CD530A3">
            <w:pPr>
              <w:pStyle w:val="13"/>
              <w:spacing w:line="320" w:lineRule="exact"/>
              <w:ind w:firstLine="0"/>
              <w:jc w:val="center"/>
              <w:rPr>
                <w:rFonts w:hint="default" w:ascii="Times New Roman" w:hAnsi="Times New Roman" w:eastAsia="仿宋_GB2312" w:cs="Times New Roman"/>
                <w:color w:val="auto"/>
                <w:sz w:val="24"/>
                <w:szCs w:val="24"/>
              </w:rPr>
            </w:pPr>
          </w:p>
        </w:tc>
        <w:tc>
          <w:tcPr>
            <w:tcW w:w="1549" w:type="dxa"/>
            <w:gridSpan w:val="2"/>
            <w:tcBorders>
              <w:top w:val="single" w:color="auto" w:sz="4" w:space="0"/>
              <w:left w:val="single" w:color="auto" w:sz="4" w:space="0"/>
              <w:right w:val="single" w:color="auto" w:sz="4" w:space="0"/>
            </w:tcBorders>
            <w:shd w:val="clear" w:color="auto" w:fill="FFFFFF"/>
            <w:vAlign w:val="center"/>
          </w:tcPr>
          <w:p w14:paraId="3B5FFB4B">
            <w:pPr>
              <w:spacing w:line="320" w:lineRule="exact"/>
              <w:rPr>
                <w:rFonts w:hint="default" w:ascii="Times New Roman" w:hAnsi="Times New Roman" w:eastAsia="仿宋_GB2312" w:cs="Times New Roman"/>
                <w:color w:val="auto"/>
                <w:sz w:val="24"/>
                <w:szCs w:val="24"/>
                <w:lang w:val="zh-TW" w:bidi="zh-TW"/>
              </w:rPr>
            </w:pPr>
            <w:r>
              <w:rPr>
                <w:rFonts w:hint="default" w:ascii="Times New Roman" w:hAnsi="Times New Roman" w:eastAsia="仿宋_GB2312" w:cs="Times New Roman"/>
                <w:color w:val="auto"/>
                <w:sz w:val="24"/>
                <w:szCs w:val="24"/>
                <w:lang w:val="zh-TW" w:bidi="zh-TW"/>
              </w:rPr>
              <w:t>属地社区联系人电话</w:t>
            </w:r>
          </w:p>
        </w:tc>
        <w:tc>
          <w:tcPr>
            <w:tcW w:w="4136" w:type="dxa"/>
            <w:gridSpan w:val="3"/>
            <w:tcBorders>
              <w:top w:val="single" w:color="auto" w:sz="4" w:space="0"/>
              <w:left w:val="single" w:color="auto" w:sz="4" w:space="0"/>
              <w:right w:val="single" w:color="auto" w:sz="4" w:space="0"/>
            </w:tcBorders>
            <w:shd w:val="clear" w:color="auto" w:fill="FFFFFF"/>
            <w:vAlign w:val="center"/>
          </w:tcPr>
          <w:p w14:paraId="7C3F7517">
            <w:pPr>
              <w:spacing w:line="320" w:lineRule="exact"/>
              <w:rPr>
                <w:rFonts w:hint="default" w:ascii="Times New Roman" w:hAnsi="Times New Roman" w:eastAsia="仿宋_GB2312" w:cs="Times New Roman"/>
                <w:color w:val="auto"/>
                <w:sz w:val="24"/>
                <w:szCs w:val="24"/>
                <w:lang w:val="zh-TW" w:eastAsia="zh-TW" w:bidi="zh-TW"/>
              </w:rPr>
            </w:pPr>
          </w:p>
        </w:tc>
      </w:tr>
      <w:tr w14:paraId="05C8A395">
        <w:tblPrEx>
          <w:tblCellMar>
            <w:top w:w="0" w:type="dxa"/>
            <w:left w:w="10" w:type="dxa"/>
            <w:bottom w:w="0" w:type="dxa"/>
            <w:right w:w="10" w:type="dxa"/>
          </w:tblCellMar>
        </w:tblPrEx>
        <w:trPr>
          <w:gridAfter w:val="1"/>
          <w:wAfter w:w="15" w:type="dxa"/>
          <w:trHeight w:val="3668" w:hRule="exact"/>
          <w:jc w:val="center"/>
        </w:trPr>
        <w:tc>
          <w:tcPr>
            <w:tcW w:w="1558" w:type="dxa"/>
            <w:tcBorders>
              <w:top w:val="single" w:color="auto" w:sz="4" w:space="0"/>
              <w:left w:val="single" w:color="auto" w:sz="4" w:space="0"/>
              <w:bottom w:val="single" w:color="auto" w:sz="4" w:space="0"/>
            </w:tcBorders>
            <w:shd w:val="clear" w:color="auto" w:fill="FFFFFF"/>
            <w:vAlign w:val="center"/>
          </w:tcPr>
          <w:p w14:paraId="100EC003">
            <w:pPr>
              <w:pStyle w:val="13"/>
              <w:spacing w:line="590" w:lineRule="exact"/>
              <w:ind w:firstLine="160"/>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申报材料</w:t>
            </w:r>
          </w:p>
        </w:tc>
        <w:tc>
          <w:tcPr>
            <w:tcW w:w="7391" w:type="dxa"/>
            <w:gridSpan w:val="7"/>
            <w:tcBorders>
              <w:top w:val="single" w:color="auto" w:sz="4" w:space="0"/>
              <w:left w:val="single" w:color="auto" w:sz="4" w:space="0"/>
              <w:bottom w:val="single" w:color="auto" w:sz="4" w:space="0"/>
              <w:right w:val="single" w:color="auto" w:sz="4" w:space="0"/>
            </w:tcBorders>
            <w:shd w:val="clear" w:color="auto" w:fill="FFFFFF"/>
            <w:vAlign w:val="center"/>
          </w:tcPr>
          <w:p w14:paraId="42C72898">
            <w:pPr>
              <w:pStyle w:val="13"/>
              <w:spacing w:line="590" w:lineRule="exact"/>
              <w:ind w:firstLine="160"/>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（1.内容不超过800字；2.每张图片2M以上，图片内容应包含小区整体形象、环境</w:t>
            </w:r>
            <w:bookmarkStart w:id="3" w:name="_GoBack"/>
            <w:bookmarkEnd w:id="3"/>
            <w:r>
              <w:rPr>
                <w:rFonts w:hint="default" w:ascii="Times New Roman" w:hAnsi="Times New Roman" w:eastAsia="仿宋_GB2312" w:cs="Times New Roman"/>
                <w:color w:val="auto"/>
                <w:sz w:val="24"/>
                <w:szCs w:val="24"/>
              </w:rPr>
              <w:t>卫生情况、绿化养护、共有设施设备维护、秩序维护、党建活动场所、业委会或物管会活动场所、开展精神文明活动现场图片等）</w:t>
            </w:r>
          </w:p>
        </w:tc>
      </w:tr>
      <w:tr w14:paraId="5052298A">
        <w:tblPrEx>
          <w:tblCellMar>
            <w:top w:w="0" w:type="dxa"/>
            <w:left w:w="10" w:type="dxa"/>
            <w:bottom w:w="0" w:type="dxa"/>
            <w:right w:w="10" w:type="dxa"/>
          </w:tblCellMar>
        </w:tblPrEx>
        <w:trPr>
          <w:trHeight w:val="1865" w:hRule="exact"/>
          <w:jc w:val="center"/>
        </w:trPr>
        <w:tc>
          <w:tcPr>
            <w:tcW w:w="1558" w:type="dxa"/>
            <w:tcBorders>
              <w:top w:val="single" w:color="auto" w:sz="4" w:space="0"/>
              <w:left w:val="single" w:color="auto" w:sz="4" w:space="0"/>
              <w:bottom w:val="single" w:color="auto" w:sz="4" w:space="0"/>
            </w:tcBorders>
            <w:shd w:val="clear" w:color="auto" w:fill="FFFFFF"/>
            <w:vAlign w:val="center"/>
          </w:tcPr>
          <w:p w14:paraId="60822C49">
            <w:pPr>
              <w:pStyle w:val="13"/>
              <w:spacing w:line="590" w:lineRule="exact"/>
              <w:ind w:firstLine="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业</w:t>
            </w:r>
            <w:r>
              <w:rPr>
                <w:rFonts w:hint="default" w:ascii="Times New Roman" w:hAnsi="Times New Roman" w:eastAsia="仿宋_GB2312" w:cs="Times New Roman"/>
                <w:color w:val="auto"/>
                <w:sz w:val="24"/>
                <w:szCs w:val="24"/>
                <w:lang w:eastAsia="zh-CN"/>
              </w:rPr>
              <w:t>主</w:t>
            </w:r>
            <w:r>
              <w:rPr>
                <w:rFonts w:hint="default" w:ascii="Times New Roman" w:hAnsi="Times New Roman" w:eastAsia="仿宋_GB2312" w:cs="Times New Roman"/>
                <w:color w:val="auto"/>
                <w:sz w:val="24"/>
                <w:szCs w:val="24"/>
              </w:rPr>
              <w:t>委</w:t>
            </w:r>
            <w:r>
              <w:rPr>
                <w:rFonts w:hint="default" w:ascii="Times New Roman" w:hAnsi="Times New Roman" w:eastAsia="仿宋_GB2312" w:cs="Times New Roman"/>
                <w:color w:val="auto"/>
                <w:sz w:val="24"/>
                <w:szCs w:val="24"/>
                <w:lang w:eastAsia="zh-CN"/>
              </w:rPr>
              <w:t>员</w:t>
            </w:r>
            <w:r>
              <w:rPr>
                <w:rFonts w:hint="default" w:ascii="Times New Roman" w:hAnsi="Times New Roman" w:eastAsia="仿宋_GB2312" w:cs="Times New Roman"/>
                <w:color w:val="auto"/>
                <w:sz w:val="24"/>
                <w:szCs w:val="24"/>
              </w:rPr>
              <w:t>会</w:t>
            </w:r>
            <w:r>
              <w:rPr>
                <w:rFonts w:hint="default" w:ascii="Times New Roman" w:hAnsi="Times New Roman" w:eastAsia="仿宋_GB2312" w:cs="Times New Roman"/>
                <w:color w:val="auto"/>
                <w:sz w:val="24"/>
                <w:szCs w:val="24"/>
                <w:lang w:eastAsia="zh-CN"/>
              </w:rPr>
              <w:t>（物业管理委员会）</w:t>
            </w:r>
            <w:r>
              <w:rPr>
                <w:rFonts w:hint="default" w:ascii="Times New Roman" w:hAnsi="Times New Roman" w:eastAsia="仿宋_GB2312" w:cs="Times New Roman"/>
                <w:color w:val="auto"/>
                <w:sz w:val="24"/>
                <w:szCs w:val="24"/>
              </w:rPr>
              <w:t>意见</w:t>
            </w:r>
          </w:p>
        </w:tc>
        <w:tc>
          <w:tcPr>
            <w:tcW w:w="2748" w:type="dxa"/>
            <w:gridSpan w:val="3"/>
            <w:tcBorders>
              <w:top w:val="single" w:color="auto" w:sz="4" w:space="0"/>
              <w:left w:val="single" w:color="auto" w:sz="4" w:space="0"/>
              <w:bottom w:val="single" w:color="auto" w:sz="4" w:space="0"/>
            </w:tcBorders>
            <w:shd w:val="clear" w:color="auto" w:fill="FFFFFF"/>
            <w:vAlign w:val="bottom"/>
          </w:tcPr>
          <w:p w14:paraId="6658D5DC">
            <w:pPr>
              <w:pStyle w:val="13"/>
              <w:spacing w:line="590" w:lineRule="exact"/>
              <w:ind w:firstLine="760"/>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签章：</w:t>
            </w:r>
          </w:p>
        </w:tc>
        <w:tc>
          <w:tcPr>
            <w:tcW w:w="1843" w:type="dxa"/>
            <w:gridSpan w:val="2"/>
            <w:tcBorders>
              <w:top w:val="single" w:color="auto" w:sz="4" w:space="0"/>
              <w:bottom w:val="single" w:color="auto" w:sz="4" w:space="0"/>
            </w:tcBorders>
            <w:shd w:val="clear" w:color="auto" w:fill="FFFFFF"/>
            <w:vAlign w:val="bottom"/>
          </w:tcPr>
          <w:p w14:paraId="2EAA4051">
            <w:pPr>
              <w:pStyle w:val="13"/>
              <w:spacing w:line="590" w:lineRule="exact"/>
              <w:ind w:left="1540" w:firstLine="0"/>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年</w:t>
            </w:r>
          </w:p>
        </w:tc>
        <w:tc>
          <w:tcPr>
            <w:tcW w:w="684" w:type="dxa"/>
            <w:tcBorders>
              <w:top w:val="single" w:color="auto" w:sz="4" w:space="0"/>
              <w:bottom w:val="single" w:color="auto" w:sz="4" w:space="0"/>
            </w:tcBorders>
            <w:shd w:val="clear" w:color="auto" w:fill="FFFFFF"/>
            <w:vAlign w:val="bottom"/>
          </w:tcPr>
          <w:p w14:paraId="67C08124">
            <w:pPr>
              <w:pStyle w:val="13"/>
              <w:spacing w:line="590" w:lineRule="exact"/>
              <w:ind w:firstLine="200"/>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月</w:t>
            </w:r>
          </w:p>
        </w:tc>
        <w:tc>
          <w:tcPr>
            <w:tcW w:w="2131" w:type="dxa"/>
            <w:gridSpan w:val="2"/>
            <w:tcBorders>
              <w:top w:val="single" w:color="auto" w:sz="4" w:space="0"/>
              <w:bottom w:val="single" w:color="auto" w:sz="4" w:space="0"/>
              <w:right w:val="single" w:color="auto" w:sz="4" w:space="0"/>
            </w:tcBorders>
            <w:shd w:val="clear" w:color="auto" w:fill="FFFFFF"/>
            <w:vAlign w:val="bottom"/>
          </w:tcPr>
          <w:p w14:paraId="46CF8CE5">
            <w:pPr>
              <w:pStyle w:val="13"/>
              <w:spacing w:line="590" w:lineRule="exact"/>
              <w:ind w:firstLine="240"/>
              <w:jc w:val="left"/>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日</w:t>
            </w:r>
          </w:p>
        </w:tc>
      </w:tr>
      <w:tr w14:paraId="38EEDEA3">
        <w:tblPrEx>
          <w:tblCellMar>
            <w:top w:w="0" w:type="dxa"/>
            <w:left w:w="10" w:type="dxa"/>
            <w:bottom w:w="0" w:type="dxa"/>
            <w:right w:w="10" w:type="dxa"/>
          </w:tblCellMar>
        </w:tblPrEx>
        <w:trPr>
          <w:trHeight w:val="1865" w:hRule="exact"/>
          <w:jc w:val="center"/>
        </w:trPr>
        <w:tc>
          <w:tcPr>
            <w:tcW w:w="1597" w:type="dxa"/>
            <w:gridSpan w:val="2"/>
            <w:tcBorders>
              <w:top w:val="single" w:color="auto" w:sz="4" w:space="0"/>
              <w:left w:val="single" w:color="auto" w:sz="4" w:space="0"/>
            </w:tcBorders>
            <w:shd w:val="clear" w:color="auto" w:fill="FFFFFF"/>
            <w:vAlign w:val="center"/>
          </w:tcPr>
          <w:p w14:paraId="06CC5505">
            <w:pPr>
              <w:pStyle w:val="13"/>
              <w:spacing w:line="440" w:lineRule="exact"/>
              <w:ind w:firstLine="0"/>
              <w:jc w:val="center"/>
              <w:rPr>
                <w:rFonts w:hint="default" w:ascii="Times New Roman" w:hAnsi="Times New Roman" w:eastAsia="仿宋_GB2312" w:cs="Times New Roman"/>
                <w:color w:val="auto"/>
                <w:sz w:val="22"/>
                <w:szCs w:val="22"/>
                <w:lang w:eastAsia="zh-CN"/>
              </w:rPr>
            </w:pPr>
            <w:r>
              <w:rPr>
                <w:rFonts w:hint="default" w:ascii="Times New Roman" w:hAnsi="Times New Roman" w:eastAsia="仿宋_GB2312" w:cs="Times New Roman"/>
                <w:color w:val="auto"/>
                <w:sz w:val="22"/>
                <w:szCs w:val="22"/>
                <w:lang w:eastAsia="zh-CN"/>
              </w:rPr>
              <w:t>属地社区</w:t>
            </w:r>
          </w:p>
          <w:p w14:paraId="240A8C77">
            <w:pPr>
              <w:pStyle w:val="13"/>
              <w:spacing w:line="440" w:lineRule="exact"/>
              <w:ind w:firstLine="0"/>
              <w:jc w:val="center"/>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意见</w:t>
            </w:r>
          </w:p>
        </w:tc>
        <w:tc>
          <w:tcPr>
            <w:tcW w:w="2709" w:type="dxa"/>
            <w:gridSpan w:val="2"/>
            <w:tcBorders>
              <w:top w:val="single" w:color="auto" w:sz="4" w:space="0"/>
              <w:left w:val="single" w:color="auto" w:sz="4" w:space="0"/>
            </w:tcBorders>
            <w:shd w:val="clear" w:color="auto" w:fill="FFFFFF"/>
            <w:vAlign w:val="bottom"/>
          </w:tcPr>
          <w:p w14:paraId="5C5767F9">
            <w:pPr>
              <w:pStyle w:val="13"/>
              <w:spacing w:line="440" w:lineRule="exact"/>
              <w:ind w:firstLine="76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签章：</w:t>
            </w:r>
          </w:p>
        </w:tc>
        <w:tc>
          <w:tcPr>
            <w:tcW w:w="1843" w:type="dxa"/>
            <w:gridSpan w:val="2"/>
            <w:tcBorders>
              <w:top w:val="single" w:color="auto" w:sz="4" w:space="0"/>
            </w:tcBorders>
            <w:shd w:val="clear" w:color="auto" w:fill="FFFFFF"/>
            <w:vAlign w:val="bottom"/>
          </w:tcPr>
          <w:p w14:paraId="334F2AA3">
            <w:pPr>
              <w:pStyle w:val="13"/>
              <w:spacing w:line="440" w:lineRule="exact"/>
              <w:ind w:left="1540" w:firstLine="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年</w:t>
            </w:r>
          </w:p>
        </w:tc>
        <w:tc>
          <w:tcPr>
            <w:tcW w:w="684" w:type="dxa"/>
            <w:tcBorders>
              <w:top w:val="single" w:color="auto" w:sz="4" w:space="0"/>
            </w:tcBorders>
            <w:shd w:val="clear" w:color="auto" w:fill="FFFFFF"/>
            <w:vAlign w:val="bottom"/>
          </w:tcPr>
          <w:p w14:paraId="254E4DD8">
            <w:pPr>
              <w:pStyle w:val="13"/>
              <w:spacing w:line="440" w:lineRule="exact"/>
              <w:ind w:firstLine="20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月</w:t>
            </w:r>
          </w:p>
        </w:tc>
        <w:tc>
          <w:tcPr>
            <w:tcW w:w="2131" w:type="dxa"/>
            <w:gridSpan w:val="2"/>
            <w:tcBorders>
              <w:top w:val="single" w:color="auto" w:sz="4" w:space="0"/>
              <w:right w:val="single" w:color="auto" w:sz="4" w:space="0"/>
            </w:tcBorders>
            <w:shd w:val="clear" w:color="auto" w:fill="FFFFFF"/>
            <w:vAlign w:val="bottom"/>
          </w:tcPr>
          <w:p w14:paraId="4874CDCC">
            <w:pPr>
              <w:pStyle w:val="13"/>
              <w:spacing w:line="440" w:lineRule="exact"/>
              <w:ind w:firstLine="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lang w:eastAsia="zh-CN"/>
              </w:rPr>
              <w:t>日</w:t>
            </w:r>
          </w:p>
        </w:tc>
      </w:tr>
      <w:tr w14:paraId="736EE0D9">
        <w:tblPrEx>
          <w:tblCellMar>
            <w:top w:w="0" w:type="dxa"/>
            <w:left w:w="10" w:type="dxa"/>
            <w:bottom w:w="0" w:type="dxa"/>
            <w:right w:w="10" w:type="dxa"/>
          </w:tblCellMar>
        </w:tblPrEx>
        <w:trPr>
          <w:trHeight w:val="1987" w:hRule="exact"/>
          <w:jc w:val="center"/>
        </w:trPr>
        <w:tc>
          <w:tcPr>
            <w:tcW w:w="1597" w:type="dxa"/>
            <w:gridSpan w:val="2"/>
            <w:tcBorders>
              <w:top w:val="single" w:color="auto" w:sz="4" w:space="0"/>
              <w:left w:val="single" w:color="auto" w:sz="4" w:space="0"/>
            </w:tcBorders>
            <w:shd w:val="clear" w:color="auto" w:fill="FFFFFF"/>
            <w:vAlign w:val="center"/>
          </w:tcPr>
          <w:p w14:paraId="4CEE31F0">
            <w:pPr>
              <w:pStyle w:val="13"/>
              <w:spacing w:line="440" w:lineRule="exact"/>
              <w:ind w:firstLine="0"/>
              <w:jc w:val="center"/>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属地街道（乡镇）</w:t>
            </w:r>
          </w:p>
          <w:p w14:paraId="35B5D8B4">
            <w:pPr>
              <w:pStyle w:val="13"/>
              <w:spacing w:line="440" w:lineRule="exact"/>
              <w:ind w:firstLine="0"/>
              <w:jc w:val="center"/>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意见</w:t>
            </w:r>
          </w:p>
        </w:tc>
        <w:tc>
          <w:tcPr>
            <w:tcW w:w="2709" w:type="dxa"/>
            <w:gridSpan w:val="2"/>
            <w:tcBorders>
              <w:top w:val="single" w:color="auto" w:sz="4" w:space="0"/>
              <w:left w:val="single" w:color="auto" w:sz="4" w:space="0"/>
            </w:tcBorders>
            <w:shd w:val="clear" w:color="auto" w:fill="FFFFFF"/>
            <w:vAlign w:val="bottom"/>
          </w:tcPr>
          <w:p w14:paraId="3F9EF70F">
            <w:pPr>
              <w:pStyle w:val="13"/>
              <w:spacing w:line="440" w:lineRule="exact"/>
              <w:ind w:firstLine="76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签章：</w:t>
            </w:r>
          </w:p>
        </w:tc>
        <w:tc>
          <w:tcPr>
            <w:tcW w:w="1843" w:type="dxa"/>
            <w:gridSpan w:val="2"/>
            <w:tcBorders>
              <w:top w:val="single" w:color="auto" w:sz="4" w:space="0"/>
            </w:tcBorders>
            <w:shd w:val="clear" w:color="auto" w:fill="FFFFFF"/>
            <w:vAlign w:val="bottom"/>
          </w:tcPr>
          <w:p w14:paraId="17C8D136">
            <w:pPr>
              <w:pStyle w:val="13"/>
              <w:spacing w:line="440" w:lineRule="exact"/>
              <w:ind w:left="1540" w:firstLine="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年</w:t>
            </w:r>
          </w:p>
        </w:tc>
        <w:tc>
          <w:tcPr>
            <w:tcW w:w="684" w:type="dxa"/>
            <w:tcBorders>
              <w:top w:val="single" w:color="auto" w:sz="4" w:space="0"/>
            </w:tcBorders>
            <w:shd w:val="clear" w:color="auto" w:fill="FFFFFF"/>
            <w:vAlign w:val="bottom"/>
          </w:tcPr>
          <w:p w14:paraId="68638BC0">
            <w:pPr>
              <w:pStyle w:val="13"/>
              <w:spacing w:line="440" w:lineRule="exact"/>
              <w:ind w:firstLine="20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月</w:t>
            </w:r>
          </w:p>
        </w:tc>
        <w:tc>
          <w:tcPr>
            <w:tcW w:w="2131" w:type="dxa"/>
            <w:gridSpan w:val="2"/>
            <w:tcBorders>
              <w:top w:val="single" w:color="auto" w:sz="4" w:space="0"/>
              <w:right w:val="single" w:color="auto" w:sz="4" w:space="0"/>
            </w:tcBorders>
            <w:shd w:val="clear" w:color="auto" w:fill="FFFFFF"/>
            <w:vAlign w:val="bottom"/>
          </w:tcPr>
          <w:p w14:paraId="18876904">
            <w:pPr>
              <w:pStyle w:val="13"/>
              <w:spacing w:line="440" w:lineRule="exact"/>
              <w:ind w:firstLine="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lang w:eastAsia="zh-CN"/>
              </w:rPr>
              <w:t>日</w:t>
            </w:r>
          </w:p>
        </w:tc>
      </w:tr>
      <w:tr w14:paraId="46BDFDA2">
        <w:tblPrEx>
          <w:tblCellMar>
            <w:top w:w="0" w:type="dxa"/>
            <w:left w:w="10" w:type="dxa"/>
            <w:bottom w:w="0" w:type="dxa"/>
            <w:right w:w="10" w:type="dxa"/>
          </w:tblCellMar>
        </w:tblPrEx>
        <w:trPr>
          <w:trHeight w:val="2124" w:hRule="exact"/>
          <w:jc w:val="center"/>
        </w:trPr>
        <w:tc>
          <w:tcPr>
            <w:tcW w:w="1597" w:type="dxa"/>
            <w:gridSpan w:val="2"/>
            <w:tcBorders>
              <w:top w:val="single" w:color="auto" w:sz="4" w:space="0"/>
              <w:left w:val="single" w:color="auto" w:sz="4" w:space="0"/>
            </w:tcBorders>
            <w:shd w:val="clear" w:color="auto" w:fill="FFFFFF"/>
            <w:vAlign w:val="center"/>
          </w:tcPr>
          <w:p w14:paraId="092EDBAC">
            <w:pPr>
              <w:pStyle w:val="13"/>
              <w:spacing w:line="440" w:lineRule="exact"/>
              <w:ind w:firstLine="0"/>
              <w:jc w:val="center"/>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属地</w:t>
            </w:r>
            <w:r>
              <w:rPr>
                <w:rFonts w:hint="default" w:ascii="Times New Roman" w:hAnsi="Times New Roman" w:eastAsia="仿宋_GB2312" w:cs="Times New Roman"/>
                <w:color w:val="auto"/>
                <w:sz w:val="22"/>
                <w:szCs w:val="22"/>
                <w:lang w:eastAsia="zh-CN"/>
              </w:rPr>
              <w:t>县（城区）住房城乡建设局</w:t>
            </w:r>
            <w:r>
              <w:rPr>
                <w:rFonts w:hint="default" w:ascii="Times New Roman" w:hAnsi="Times New Roman" w:eastAsia="仿宋_GB2312" w:cs="Times New Roman"/>
                <w:color w:val="auto"/>
                <w:sz w:val="22"/>
                <w:szCs w:val="22"/>
              </w:rPr>
              <w:t>意见</w:t>
            </w:r>
          </w:p>
        </w:tc>
        <w:tc>
          <w:tcPr>
            <w:tcW w:w="2709" w:type="dxa"/>
            <w:gridSpan w:val="2"/>
            <w:tcBorders>
              <w:top w:val="single" w:color="auto" w:sz="4" w:space="0"/>
              <w:left w:val="single" w:color="auto" w:sz="4" w:space="0"/>
            </w:tcBorders>
            <w:shd w:val="clear" w:color="auto" w:fill="FFFFFF"/>
            <w:vAlign w:val="bottom"/>
          </w:tcPr>
          <w:p w14:paraId="3BC4FAC2">
            <w:pPr>
              <w:pStyle w:val="13"/>
              <w:spacing w:line="440" w:lineRule="exact"/>
              <w:ind w:firstLine="76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签章：</w:t>
            </w:r>
          </w:p>
        </w:tc>
        <w:tc>
          <w:tcPr>
            <w:tcW w:w="1843" w:type="dxa"/>
            <w:gridSpan w:val="2"/>
            <w:tcBorders>
              <w:top w:val="single" w:color="auto" w:sz="4" w:space="0"/>
            </w:tcBorders>
            <w:shd w:val="clear" w:color="auto" w:fill="FFFFFF"/>
            <w:vAlign w:val="bottom"/>
          </w:tcPr>
          <w:p w14:paraId="35CD8A92">
            <w:pPr>
              <w:pStyle w:val="13"/>
              <w:spacing w:line="440" w:lineRule="exact"/>
              <w:ind w:left="1540" w:firstLine="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年</w:t>
            </w:r>
          </w:p>
        </w:tc>
        <w:tc>
          <w:tcPr>
            <w:tcW w:w="684" w:type="dxa"/>
            <w:tcBorders>
              <w:top w:val="single" w:color="auto" w:sz="4" w:space="0"/>
            </w:tcBorders>
            <w:shd w:val="clear" w:color="auto" w:fill="FFFFFF"/>
            <w:vAlign w:val="bottom"/>
          </w:tcPr>
          <w:p w14:paraId="2C29ADA6">
            <w:pPr>
              <w:pStyle w:val="13"/>
              <w:spacing w:line="440" w:lineRule="exact"/>
              <w:ind w:firstLine="20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月</w:t>
            </w:r>
          </w:p>
        </w:tc>
        <w:tc>
          <w:tcPr>
            <w:tcW w:w="2131" w:type="dxa"/>
            <w:gridSpan w:val="2"/>
            <w:tcBorders>
              <w:top w:val="single" w:color="auto" w:sz="4" w:space="0"/>
              <w:right w:val="single" w:color="auto" w:sz="4" w:space="0"/>
            </w:tcBorders>
            <w:shd w:val="clear" w:color="auto" w:fill="FFFFFF"/>
            <w:vAlign w:val="bottom"/>
          </w:tcPr>
          <w:p w14:paraId="5EBFB4DF">
            <w:pPr>
              <w:pStyle w:val="13"/>
              <w:spacing w:line="440" w:lineRule="exact"/>
              <w:ind w:firstLine="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日</w:t>
            </w:r>
          </w:p>
        </w:tc>
      </w:tr>
      <w:tr w14:paraId="073150E1">
        <w:tblPrEx>
          <w:tblCellMar>
            <w:top w:w="0" w:type="dxa"/>
            <w:left w:w="10" w:type="dxa"/>
            <w:bottom w:w="0" w:type="dxa"/>
            <w:right w:w="10" w:type="dxa"/>
          </w:tblCellMar>
        </w:tblPrEx>
        <w:trPr>
          <w:trHeight w:val="2434" w:hRule="exact"/>
          <w:jc w:val="center"/>
        </w:trPr>
        <w:tc>
          <w:tcPr>
            <w:tcW w:w="1597" w:type="dxa"/>
            <w:gridSpan w:val="2"/>
            <w:tcBorders>
              <w:top w:val="single" w:color="auto" w:sz="4" w:space="0"/>
              <w:left w:val="single" w:color="auto" w:sz="4" w:space="0"/>
            </w:tcBorders>
            <w:shd w:val="clear" w:color="auto" w:fill="FFFFFF"/>
            <w:vAlign w:val="center"/>
          </w:tcPr>
          <w:p w14:paraId="6F14126D">
            <w:pPr>
              <w:pStyle w:val="13"/>
              <w:spacing w:line="440" w:lineRule="exact"/>
              <w:ind w:firstLine="0"/>
              <w:jc w:val="center"/>
              <w:rPr>
                <w:rFonts w:hint="default" w:ascii="Times New Roman" w:hAnsi="Times New Roman" w:eastAsia="仿宋_GB2312" w:cs="Times New Roman"/>
                <w:color w:val="auto"/>
                <w:sz w:val="22"/>
                <w:szCs w:val="22"/>
                <w:lang w:eastAsia="zh-CN"/>
              </w:rPr>
            </w:pPr>
            <w:r>
              <w:rPr>
                <w:rFonts w:hint="eastAsia" w:ascii="Times New Roman" w:hAnsi="Times New Roman" w:eastAsia="仿宋_GB2312" w:cs="Times New Roman"/>
                <w:color w:val="auto"/>
                <w:sz w:val="22"/>
                <w:szCs w:val="22"/>
                <w:lang w:eastAsia="zh-CN"/>
              </w:rPr>
              <w:t>设区</w:t>
            </w:r>
            <w:r>
              <w:rPr>
                <w:rFonts w:hint="default" w:ascii="Times New Roman" w:hAnsi="Times New Roman" w:eastAsia="仿宋_GB2312" w:cs="Times New Roman"/>
                <w:color w:val="auto"/>
                <w:sz w:val="22"/>
                <w:szCs w:val="22"/>
              </w:rPr>
              <w:t>市住</w:t>
            </w:r>
            <w:r>
              <w:rPr>
                <w:rFonts w:hint="default" w:ascii="Times New Roman" w:hAnsi="Times New Roman" w:eastAsia="仿宋_GB2312" w:cs="Times New Roman"/>
                <w:color w:val="auto"/>
                <w:sz w:val="22"/>
                <w:szCs w:val="22"/>
                <w:lang w:eastAsia="zh-CN"/>
              </w:rPr>
              <w:t>房城乡</w:t>
            </w:r>
          </w:p>
          <w:p w14:paraId="06503CEC">
            <w:pPr>
              <w:pStyle w:val="13"/>
              <w:spacing w:line="440" w:lineRule="exact"/>
              <w:ind w:firstLine="0"/>
              <w:jc w:val="center"/>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建</w:t>
            </w:r>
            <w:r>
              <w:rPr>
                <w:rFonts w:hint="default" w:ascii="Times New Roman" w:hAnsi="Times New Roman" w:eastAsia="仿宋_GB2312" w:cs="Times New Roman"/>
                <w:color w:val="auto"/>
                <w:sz w:val="22"/>
                <w:szCs w:val="22"/>
                <w:lang w:eastAsia="zh-CN"/>
              </w:rPr>
              <w:t>设</w:t>
            </w:r>
            <w:r>
              <w:rPr>
                <w:rFonts w:hint="default" w:ascii="Times New Roman" w:hAnsi="Times New Roman" w:eastAsia="仿宋_GB2312" w:cs="Times New Roman"/>
                <w:color w:val="auto"/>
                <w:sz w:val="22"/>
                <w:szCs w:val="22"/>
              </w:rPr>
              <w:t>局意见</w:t>
            </w:r>
          </w:p>
        </w:tc>
        <w:tc>
          <w:tcPr>
            <w:tcW w:w="2709" w:type="dxa"/>
            <w:gridSpan w:val="2"/>
            <w:tcBorders>
              <w:top w:val="single" w:color="auto" w:sz="4" w:space="0"/>
              <w:left w:val="single" w:color="auto" w:sz="4" w:space="0"/>
            </w:tcBorders>
            <w:shd w:val="clear" w:color="auto" w:fill="FFFFFF"/>
            <w:vAlign w:val="bottom"/>
          </w:tcPr>
          <w:p w14:paraId="78A40B47">
            <w:pPr>
              <w:pStyle w:val="13"/>
              <w:spacing w:line="440" w:lineRule="exact"/>
              <w:ind w:firstLine="76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签章：</w:t>
            </w:r>
          </w:p>
        </w:tc>
        <w:tc>
          <w:tcPr>
            <w:tcW w:w="1843" w:type="dxa"/>
            <w:gridSpan w:val="2"/>
            <w:tcBorders>
              <w:top w:val="single" w:color="auto" w:sz="4" w:space="0"/>
            </w:tcBorders>
            <w:shd w:val="clear" w:color="auto" w:fill="FFFFFF"/>
            <w:vAlign w:val="bottom"/>
          </w:tcPr>
          <w:p w14:paraId="6615D325">
            <w:pPr>
              <w:pStyle w:val="13"/>
              <w:spacing w:line="440" w:lineRule="exact"/>
              <w:ind w:left="1540" w:firstLine="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年</w:t>
            </w:r>
          </w:p>
        </w:tc>
        <w:tc>
          <w:tcPr>
            <w:tcW w:w="684" w:type="dxa"/>
            <w:tcBorders>
              <w:top w:val="single" w:color="auto" w:sz="4" w:space="0"/>
            </w:tcBorders>
            <w:shd w:val="clear" w:color="auto" w:fill="FFFFFF"/>
            <w:vAlign w:val="bottom"/>
          </w:tcPr>
          <w:p w14:paraId="1ED4E2F2">
            <w:pPr>
              <w:pStyle w:val="13"/>
              <w:spacing w:line="440" w:lineRule="exact"/>
              <w:ind w:firstLine="20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月</w:t>
            </w:r>
          </w:p>
        </w:tc>
        <w:tc>
          <w:tcPr>
            <w:tcW w:w="2131" w:type="dxa"/>
            <w:gridSpan w:val="2"/>
            <w:tcBorders>
              <w:top w:val="single" w:color="auto" w:sz="4" w:space="0"/>
              <w:right w:val="single" w:color="auto" w:sz="4" w:space="0"/>
            </w:tcBorders>
            <w:shd w:val="clear" w:color="auto" w:fill="FFFFFF"/>
            <w:vAlign w:val="bottom"/>
          </w:tcPr>
          <w:p w14:paraId="0F8E8506">
            <w:pPr>
              <w:pStyle w:val="13"/>
              <w:spacing w:line="440" w:lineRule="exact"/>
              <w:ind w:firstLine="0"/>
              <w:jc w:val="left"/>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rPr>
              <w:t>日</w:t>
            </w:r>
          </w:p>
        </w:tc>
      </w:tr>
      <w:tr w14:paraId="589A10D1">
        <w:tblPrEx>
          <w:tblCellMar>
            <w:top w:w="0" w:type="dxa"/>
            <w:left w:w="10" w:type="dxa"/>
            <w:bottom w:w="0" w:type="dxa"/>
            <w:right w:w="10" w:type="dxa"/>
          </w:tblCellMar>
        </w:tblPrEx>
        <w:trPr>
          <w:trHeight w:val="4132" w:hRule="exact"/>
          <w:jc w:val="center"/>
        </w:trPr>
        <w:tc>
          <w:tcPr>
            <w:tcW w:w="1597" w:type="dxa"/>
            <w:gridSpan w:val="2"/>
            <w:tcBorders>
              <w:top w:val="single" w:color="auto" w:sz="4" w:space="0"/>
              <w:left w:val="single" w:color="auto" w:sz="4" w:space="0"/>
              <w:bottom w:val="single" w:color="auto" w:sz="4" w:space="0"/>
            </w:tcBorders>
            <w:shd w:val="clear" w:color="auto" w:fill="FFFFFF"/>
            <w:vAlign w:val="center"/>
          </w:tcPr>
          <w:p w14:paraId="4B1C72D0">
            <w:pPr>
              <w:pStyle w:val="13"/>
              <w:spacing w:line="440" w:lineRule="exact"/>
              <w:ind w:firstLine="0"/>
              <w:jc w:val="center"/>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sz w:val="22"/>
                <w:szCs w:val="22"/>
                <w:lang w:eastAsia="zh-CN"/>
              </w:rPr>
              <w:t>自治区住房</w:t>
            </w:r>
            <w:r>
              <w:rPr>
                <w:rStyle w:val="14"/>
                <w:rFonts w:hint="default" w:ascii="Times New Roman" w:hAnsi="Times New Roman" w:eastAsia="仿宋_GB2312" w:cs="Times New Roman"/>
                <w:color w:val="auto"/>
                <w:sz w:val="22"/>
                <w:szCs w:val="22"/>
                <w:lang w:eastAsia="zh-CN"/>
              </w:rPr>
              <w:t>和</w:t>
            </w:r>
            <w:r>
              <w:rPr>
                <w:rFonts w:hint="default" w:ascii="Times New Roman" w:hAnsi="Times New Roman" w:eastAsia="仿宋_GB2312" w:cs="Times New Roman"/>
                <w:color w:val="auto"/>
                <w:sz w:val="22"/>
                <w:szCs w:val="22"/>
                <w:lang w:eastAsia="zh-CN"/>
              </w:rPr>
              <w:t>城乡建设厅</w:t>
            </w:r>
            <w:r>
              <w:rPr>
                <w:rFonts w:hint="default" w:ascii="Times New Roman" w:hAnsi="Times New Roman" w:eastAsia="仿宋_GB2312" w:cs="Times New Roman"/>
                <w:color w:val="auto"/>
                <w:sz w:val="22"/>
                <w:szCs w:val="22"/>
              </w:rPr>
              <w:t>意见</w:t>
            </w:r>
          </w:p>
        </w:tc>
        <w:tc>
          <w:tcPr>
            <w:tcW w:w="7367" w:type="dxa"/>
            <w:gridSpan w:val="7"/>
            <w:tcBorders>
              <w:top w:val="single" w:color="auto" w:sz="4" w:space="0"/>
              <w:left w:val="single" w:color="auto" w:sz="4" w:space="0"/>
              <w:bottom w:val="single" w:color="auto" w:sz="4" w:space="0"/>
              <w:right w:val="single" w:color="auto" w:sz="4" w:space="0"/>
            </w:tcBorders>
            <w:shd w:val="clear" w:color="auto" w:fill="FFFFFF"/>
            <w:vAlign w:val="bottom"/>
          </w:tcPr>
          <w:p w14:paraId="38F65160">
            <w:pPr>
              <w:spacing w:line="440" w:lineRule="exact"/>
              <w:rPr>
                <w:rFonts w:hint="default" w:ascii="Times New Roman" w:hAnsi="Times New Roman" w:eastAsia="仿宋_GB2312" w:cs="Times New Roman"/>
                <w:color w:val="auto"/>
                <w:kern w:val="2"/>
                <w:sz w:val="22"/>
                <w:szCs w:val="22"/>
                <w:lang w:val="zh-TW" w:eastAsia="zh-CN" w:bidi="zh-TW"/>
              </w:rPr>
            </w:pPr>
          </w:p>
          <w:p w14:paraId="1A3A4F99">
            <w:pPr>
              <w:spacing w:line="440" w:lineRule="exact"/>
              <w:rPr>
                <w:rFonts w:hint="default" w:ascii="Times New Roman" w:hAnsi="Times New Roman" w:eastAsia="仿宋_GB2312" w:cs="Times New Roman"/>
                <w:color w:val="auto"/>
                <w:kern w:val="2"/>
                <w:sz w:val="22"/>
                <w:szCs w:val="22"/>
                <w:lang w:val="zh-TW" w:eastAsia="zh-CN" w:bidi="zh-TW"/>
              </w:rPr>
            </w:pPr>
          </w:p>
          <w:p w14:paraId="4E019C9E">
            <w:pPr>
              <w:spacing w:line="440" w:lineRule="exact"/>
              <w:ind w:firstLine="880" w:firstLineChars="400"/>
              <w:rPr>
                <w:rFonts w:hint="default" w:ascii="Times New Roman" w:hAnsi="Times New Roman" w:eastAsia="仿宋_GB2312" w:cs="Times New Roman"/>
                <w:color w:val="auto"/>
                <w:sz w:val="22"/>
                <w:szCs w:val="22"/>
              </w:rPr>
            </w:pPr>
            <w:r>
              <w:rPr>
                <w:rFonts w:hint="default" w:ascii="Times New Roman" w:hAnsi="Times New Roman" w:eastAsia="仿宋_GB2312" w:cs="Times New Roman"/>
                <w:color w:val="auto"/>
                <w:kern w:val="2"/>
                <w:sz w:val="22"/>
                <w:szCs w:val="22"/>
                <w:lang w:val="zh-TW" w:eastAsia="zh-CN" w:bidi="zh-TW"/>
              </w:rPr>
              <w:t>盖章：</w:t>
            </w:r>
            <w:r>
              <w:rPr>
                <w:rFonts w:hint="eastAsia" w:cs="Times New Roman"/>
                <w:color w:val="auto"/>
                <w:kern w:val="2"/>
                <w:sz w:val="22"/>
                <w:szCs w:val="22"/>
                <w:lang w:val="en-US" w:eastAsia="zh-CN" w:bidi="zh-TW"/>
              </w:rPr>
              <w:t xml:space="preserve">                             </w:t>
            </w:r>
            <w:r>
              <w:rPr>
                <w:rFonts w:hint="default" w:ascii="Times New Roman" w:hAnsi="Times New Roman" w:eastAsia="仿宋_GB2312" w:cs="Times New Roman"/>
                <w:color w:val="auto"/>
                <w:sz w:val="22"/>
                <w:szCs w:val="22"/>
              </w:rPr>
              <w:t>年</w:t>
            </w:r>
            <w:r>
              <w:rPr>
                <w:rFonts w:hint="default"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rPr>
              <w:t>月</w:t>
            </w:r>
            <w:r>
              <w:rPr>
                <w:rFonts w:hint="default"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rPr>
              <w:t>日</w:t>
            </w:r>
          </w:p>
        </w:tc>
      </w:tr>
    </w:tbl>
    <w:p w14:paraId="2DDF7780">
      <w:pPr>
        <w:pStyle w:val="15"/>
        <w:spacing w:line="590" w:lineRule="exact"/>
        <w:ind w:left="5940"/>
        <w:jc w:val="left"/>
        <w:rPr>
          <w:rFonts w:hint="default" w:ascii="Times New Roman" w:hAnsi="Times New Roman" w:eastAsia="仿宋_GB2312" w:cs="Times New Roman"/>
          <w:color w:val="auto"/>
        </w:rPr>
      </w:pPr>
      <w:r>
        <w:rPr>
          <w:rFonts w:hint="default" w:ascii="Times New Roman" w:hAnsi="Times New Roman" w:eastAsia="仿宋_GB2312" w:cs="Times New Roman"/>
          <w:color w:val="auto"/>
        </w:rPr>
        <w:t>（正反打印，一式</w:t>
      </w:r>
      <w:r>
        <w:rPr>
          <w:rFonts w:hint="default" w:ascii="Times New Roman" w:hAnsi="Times New Roman" w:eastAsia="仿宋_GB2312" w:cs="Times New Roman"/>
          <w:color w:val="auto"/>
          <w:sz w:val="24"/>
          <w:szCs w:val="24"/>
        </w:rPr>
        <w:t>2</w:t>
      </w:r>
      <w:r>
        <w:rPr>
          <w:rFonts w:hint="default" w:ascii="Times New Roman" w:hAnsi="Times New Roman" w:eastAsia="仿宋_GB2312" w:cs="Times New Roman"/>
          <w:color w:val="auto"/>
        </w:rPr>
        <w:t>份）</w:t>
      </w:r>
    </w:p>
    <w:p w14:paraId="24FB5366">
      <w:pPr>
        <w:pStyle w:val="2"/>
        <w:spacing w:line="590" w:lineRule="exact"/>
        <w:rPr>
          <w:rFonts w:hint="default" w:ascii="Times New Roman" w:hAnsi="Times New Roman" w:cs="Times New Roman"/>
          <w:color w:val="auto"/>
          <w:kern w:val="0"/>
          <w:sz w:val="32"/>
          <w:szCs w:val="32"/>
        </w:rPr>
        <w:sectPr>
          <w:footerReference r:id="rId5" w:type="default"/>
          <w:footerReference r:id="rId6" w:type="even"/>
          <w:pgSz w:w="11910" w:h="16840"/>
          <w:pgMar w:top="1580" w:right="1460" w:bottom="1160" w:left="1680" w:header="0" w:footer="976" w:gutter="0"/>
          <w:cols w:space="720" w:num="1"/>
        </w:sectPr>
      </w:pPr>
    </w:p>
    <w:p w14:paraId="4DD42B75">
      <w:pPr>
        <w:spacing w:line="590" w:lineRule="exact"/>
        <w:rPr>
          <w:rStyle w:val="14"/>
          <w:rFonts w:hint="default" w:ascii="Times New Roman" w:hAnsi="Times New Roman" w:eastAsia="黑体" w:cs="Times New Roman"/>
          <w:color w:val="auto"/>
          <w:sz w:val="32"/>
          <w:szCs w:val="32"/>
        </w:rPr>
      </w:pPr>
      <w:r>
        <w:rPr>
          <w:rStyle w:val="14"/>
          <w:rFonts w:hint="default" w:ascii="Times New Roman" w:hAnsi="Times New Roman" w:eastAsia="黑体" w:cs="Times New Roman"/>
          <w:color w:val="auto"/>
          <w:sz w:val="32"/>
          <w:szCs w:val="32"/>
        </w:rPr>
        <w:t>附件2</w:t>
      </w:r>
    </w:p>
    <w:p w14:paraId="4026D018">
      <w:pPr>
        <w:pStyle w:val="2"/>
        <w:rPr>
          <w:rStyle w:val="14"/>
          <w:rFonts w:hint="default" w:ascii="Times New Roman" w:hAnsi="Times New Roman" w:eastAsia="仿宋_GB2312" w:cs="Times New Roman"/>
          <w:color w:val="auto"/>
        </w:rPr>
      </w:pPr>
    </w:p>
    <w:p w14:paraId="4D7D4471">
      <w:pPr>
        <w:spacing w:line="590" w:lineRule="exact"/>
        <w:jc w:val="center"/>
        <w:rPr>
          <w:rStyle w:val="14"/>
          <w:rFonts w:hint="eastAsia" w:ascii="方正小标宋_GBK" w:hAnsi="方正小标宋_GBK" w:eastAsia="方正小标宋_GBK" w:cs="方正小标宋_GBK"/>
          <w:color w:val="auto"/>
          <w:sz w:val="44"/>
          <w:szCs w:val="44"/>
        </w:rPr>
      </w:pPr>
      <w:r>
        <w:rPr>
          <w:rStyle w:val="14"/>
          <w:rFonts w:hint="eastAsia" w:ascii="方正小标宋_GBK" w:hAnsi="方正小标宋_GBK" w:eastAsia="方正小标宋_GBK" w:cs="方正小标宋_GBK"/>
          <w:color w:val="auto"/>
          <w:sz w:val="44"/>
          <w:szCs w:val="44"/>
          <w:lang w:eastAsia="zh-CN"/>
        </w:rPr>
        <w:t>“</w:t>
      </w:r>
      <w:r>
        <w:rPr>
          <w:rStyle w:val="14"/>
          <w:rFonts w:hint="eastAsia" w:ascii="方正小标宋_GBK" w:hAnsi="方正小标宋_GBK" w:eastAsia="方正小标宋_GBK" w:cs="方正小标宋_GBK"/>
          <w:color w:val="auto"/>
          <w:sz w:val="44"/>
          <w:szCs w:val="44"/>
        </w:rPr>
        <w:t>美好家园</w:t>
      </w:r>
      <w:r>
        <w:rPr>
          <w:rStyle w:val="14"/>
          <w:rFonts w:hint="eastAsia" w:ascii="方正小标宋_GBK" w:hAnsi="方正小标宋_GBK" w:eastAsia="方正小标宋_GBK" w:cs="方正小标宋_GBK"/>
          <w:color w:val="auto"/>
          <w:sz w:val="44"/>
          <w:szCs w:val="44"/>
          <w:lang w:eastAsia="zh-CN"/>
        </w:rPr>
        <w:t>”</w:t>
      </w:r>
      <w:r>
        <w:rPr>
          <w:rStyle w:val="14"/>
          <w:rFonts w:hint="eastAsia" w:ascii="方正小标宋_GBK" w:hAnsi="方正小标宋_GBK" w:eastAsia="方正小标宋_GBK" w:cs="方正小标宋_GBK"/>
          <w:color w:val="auto"/>
          <w:sz w:val="44"/>
          <w:szCs w:val="44"/>
        </w:rPr>
        <w:t>小区原则要求</w:t>
      </w:r>
    </w:p>
    <w:p w14:paraId="1E5E827E">
      <w:pPr>
        <w:pStyle w:val="2"/>
        <w:rPr>
          <w:rFonts w:hint="default" w:ascii="Times New Roman" w:hAnsi="Times New Roman" w:cs="Times New Roman"/>
          <w:color w:val="auto"/>
        </w:rPr>
      </w:pPr>
    </w:p>
    <w:p w14:paraId="1B8685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Style w:val="14"/>
          <w:rFonts w:hint="eastAsia" w:ascii="方正仿宋_GB2312" w:hAnsi="方正仿宋_GB2312" w:eastAsia="方正仿宋_GB2312" w:cs="方正仿宋_GB2312"/>
          <w:color w:val="auto"/>
          <w:sz w:val="28"/>
          <w:szCs w:val="28"/>
          <w:rPrChange w:id="0" w:author="桂林物协" w:date="2025-08-01T17:05:21Z">
            <w:rPr>
              <w:rStyle w:val="14"/>
              <w:rFonts w:hint="default" w:ascii="Times New Roman" w:hAnsi="Times New Roman" w:eastAsia="仿宋_GB2312" w:cs="Times New Roman"/>
              <w:color w:val="auto"/>
              <w:sz w:val="32"/>
              <w:szCs w:val="32"/>
            </w:rPr>
          </w:rPrChange>
        </w:rPr>
      </w:pPr>
      <w:r>
        <w:rPr>
          <w:rStyle w:val="14"/>
          <w:rFonts w:hint="eastAsia" w:ascii="方正仿宋_GB2312" w:hAnsi="方正仿宋_GB2312" w:eastAsia="方正仿宋_GB2312" w:cs="方正仿宋_GB2312"/>
          <w:color w:val="auto"/>
          <w:sz w:val="28"/>
          <w:szCs w:val="28"/>
          <w:rPrChange w:id="1" w:author="桂林物协" w:date="2025-08-01T17:05:21Z">
            <w:rPr>
              <w:rStyle w:val="14"/>
              <w:rFonts w:hint="default" w:ascii="Times New Roman" w:hAnsi="Times New Roman" w:eastAsia="仿宋_GB2312" w:cs="Times New Roman"/>
              <w:color w:val="auto"/>
              <w:sz w:val="32"/>
              <w:szCs w:val="32"/>
            </w:rPr>
          </w:rPrChange>
        </w:rPr>
        <w:t>⒈ 小区业主对物业管理满意度高，满意度位于全市前5%（或者小区物业管理投诉率位于全市后5%），未发生较大安全事故或因管理不善造成的较大社会舆情。</w:t>
      </w:r>
    </w:p>
    <w:p w14:paraId="49F5F9C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Style w:val="14"/>
          <w:rFonts w:hint="eastAsia" w:ascii="方正仿宋_GB2312" w:hAnsi="方正仿宋_GB2312" w:eastAsia="方正仿宋_GB2312" w:cs="方正仿宋_GB2312"/>
          <w:color w:val="auto"/>
          <w:sz w:val="28"/>
          <w:szCs w:val="28"/>
          <w:rPrChange w:id="2" w:author="桂林物协" w:date="2025-08-01T17:05:21Z">
            <w:rPr>
              <w:rStyle w:val="14"/>
              <w:rFonts w:hint="default" w:ascii="Times New Roman" w:hAnsi="Times New Roman" w:eastAsia="仿宋_GB2312" w:cs="Times New Roman"/>
              <w:color w:val="auto"/>
              <w:sz w:val="32"/>
              <w:szCs w:val="32"/>
            </w:rPr>
          </w:rPrChange>
        </w:rPr>
      </w:pPr>
      <w:r>
        <w:rPr>
          <w:rStyle w:val="14"/>
          <w:rFonts w:hint="eastAsia" w:ascii="方正仿宋_GB2312" w:hAnsi="方正仿宋_GB2312" w:eastAsia="方正仿宋_GB2312" w:cs="方正仿宋_GB2312"/>
          <w:color w:val="auto"/>
          <w:sz w:val="28"/>
          <w:szCs w:val="28"/>
          <w:rPrChange w:id="3" w:author="桂林物协" w:date="2025-08-01T17:05:21Z">
            <w:rPr>
              <w:rStyle w:val="14"/>
              <w:rFonts w:hint="default" w:ascii="Times New Roman" w:hAnsi="Times New Roman" w:eastAsia="仿宋_GB2312" w:cs="Times New Roman"/>
              <w:color w:val="auto"/>
              <w:sz w:val="32"/>
              <w:szCs w:val="32"/>
            </w:rPr>
          </w:rPrChange>
        </w:rPr>
        <w:t>2.小区党组织健全，所在街道社区充分发挥党建引领物业管理的作用，所在小区建立社区居民委员会、业主委员会（</w:t>
      </w:r>
      <w:r>
        <w:rPr>
          <w:rStyle w:val="14"/>
          <w:rFonts w:hint="eastAsia" w:ascii="方正仿宋_GB2312" w:hAnsi="方正仿宋_GB2312" w:eastAsia="方正仿宋_GB2312" w:cs="方正仿宋_GB2312"/>
          <w:color w:val="auto"/>
          <w:sz w:val="28"/>
          <w:szCs w:val="28"/>
          <w:lang w:eastAsia="zh-CN"/>
          <w:rPrChange w:id="4" w:author="桂林物协" w:date="2025-08-01T17:05:21Z">
            <w:rPr>
              <w:rStyle w:val="14"/>
              <w:rFonts w:hint="eastAsia" w:ascii="仿宋_GB2312" w:hAnsi="仿宋_GB2312" w:eastAsia="仿宋_GB2312" w:cs="仿宋_GB2312"/>
              <w:color w:val="auto"/>
              <w:sz w:val="32"/>
              <w:szCs w:val="32"/>
              <w:lang w:eastAsia="zh-CN"/>
            </w:rPr>
          </w:rPrChange>
        </w:rPr>
        <w:t>或</w:t>
      </w:r>
      <w:r>
        <w:rPr>
          <w:rStyle w:val="14"/>
          <w:rFonts w:hint="eastAsia" w:ascii="方正仿宋_GB2312" w:hAnsi="方正仿宋_GB2312" w:eastAsia="方正仿宋_GB2312" w:cs="方正仿宋_GB2312"/>
          <w:color w:val="auto"/>
          <w:sz w:val="28"/>
          <w:szCs w:val="28"/>
          <w:rPrChange w:id="5" w:author="桂林物协" w:date="2025-08-01T17:05:21Z">
            <w:rPr>
              <w:rStyle w:val="14"/>
              <w:rFonts w:hint="default" w:ascii="Times New Roman" w:hAnsi="Times New Roman" w:eastAsia="仿宋_GB2312" w:cs="Times New Roman"/>
              <w:color w:val="auto"/>
              <w:sz w:val="32"/>
              <w:szCs w:val="32"/>
            </w:rPr>
          </w:rPrChange>
        </w:rPr>
        <w:t>物业管理委员会）、物业服务企业等多方参与的协调运行机制。</w:t>
      </w:r>
    </w:p>
    <w:p w14:paraId="48D93C2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Style w:val="14"/>
          <w:rFonts w:hint="eastAsia" w:ascii="方正仿宋_GB2312" w:hAnsi="方正仿宋_GB2312" w:eastAsia="方正仿宋_GB2312" w:cs="方正仿宋_GB2312"/>
          <w:color w:val="auto"/>
          <w:sz w:val="28"/>
          <w:szCs w:val="28"/>
          <w:rPrChange w:id="6" w:author="桂林物协" w:date="2025-08-01T17:05:21Z">
            <w:rPr>
              <w:rStyle w:val="14"/>
              <w:rFonts w:hint="default" w:ascii="Times New Roman" w:hAnsi="Times New Roman" w:eastAsia="仿宋_GB2312" w:cs="Times New Roman"/>
              <w:color w:val="auto"/>
              <w:sz w:val="32"/>
              <w:szCs w:val="32"/>
            </w:rPr>
          </w:rPrChange>
        </w:rPr>
      </w:pPr>
      <w:r>
        <w:rPr>
          <w:rStyle w:val="14"/>
          <w:rFonts w:hint="eastAsia" w:ascii="方正仿宋_GB2312" w:hAnsi="方正仿宋_GB2312" w:eastAsia="方正仿宋_GB2312" w:cs="方正仿宋_GB2312"/>
          <w:color w:val="auto"/>
          <w:sz w:val="28"/>
          <w:szCs w:val="28"/>
          <w:rPrChange w:id="7" w:author="桂林物协" w:date="2025-08-01T17:05:21Z">
            <w:rPr>
              <w:rStyle w:val="14"/>
              <w:rFonts w:hint="default" w:ascii="Times New Roman" w:hAnsi="Times New Roman" w:eastAsia="仿宋_GB2312" w:cs="Times New Roman"/>
              <w:color w:val="auto"/>
              <w:sz w:val="32"/>
              <w:szCs w:val="32"/>
            </w:rPr>
          </w:rPrChange>
        </w:rPr>
        <w:t>3.小区组织开展精神文明活动，宣传党的二十大精神和社会主义核心价值观，丰富群众文化生活。开展“物业服务+生活服务”模式实践，物业服务向养老、托幼、家政、快递收发等居民生活服务领域延伸，满足居民美好生活需要。</w:t>
      </w:r>
    </w:p>
    <w:p w14:paraId="0B8E6F5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Style w:val="14"/>
          <w:rFonts w:hint="eastAsia" w:ascii="方正仿宋_GB2312" w:hAnsi="方正仿宋_GB2312" w:eastAsia="方正仿宋_GB2312" w:cs="方正仿宋_GB2312"/>
          <w:color w:val="auto"/>
          <w:sz w:val="28"/>
          <w:szCs w:val="28"/>
          <w:rPrChange w:id="8" w:author="桂林物协" w:date="2025-08-01T17:05:21Z">
            <w:rPr>
              <w:rStyle w:val="14"/>
              <w:rFonts w:hint="default" w:ascii="Times New Roman" w:hAnsi="Times New Roman" w:eastAsia="仿宋_GB2312" w:cs="Times New Roman"/>
              <w:color w:val="auto"/>
              <w:sz w:val="32"/>
              <w:szCs w:val="32"/>
            </w:rPr>
          </w:rPrChange>
        </w:rPr>
      </w:pPr>
      <w:r>
        <w:rPr>
          <w:rStyle w:val="14"/>
          <w:rFonts w:hint="eastAsia" w:ascii="方正仿宋_GB2312" w:hAnsi="方正仿宋_GB2312" w:eastAsia="方正仿宋_GB2312" w:cs="方正仿宋_GB2312"/>
          <w:color w:val="auto"/>
          <w:sz w:val="28"/>
          <w:szCs w:val="28"/>
          <w:rPrChange w:id="9" w:author="桂林物协" w:date="2025-08-01T17:05:21Z">
            <w:rPr>
              <w:rStyle w:val="14"/>
              <w:rFonts w:hint="default" w:ascii="Times New Roman" w:hAnsi="Times New Roman" w:eastAsia="仿宋_GB2312" w:cs="Times New Roman"/>
              <w:color w:val="auto"/>
              <w:sz w:val="32"/>
              <w:szCs w:val="32"/>
            </w:rPr>
          </w:rPrChange>
        </w:rPr>
        <w:t>4.小区选举产生业主委员会或组建物业管理委员会</w:t>
      </w:r>
      <w:r>
        <w:rPr>
          <w:rStyle w:val="14"/>
          <w:rFonts w:hint="eastAsia" w:ascii="方正仿宋_GB2312" w:hAnsi="方正仿宋_GB2312" w:eastAsia="方正仿宋_GB2312" w:cs="方正仿宋_GB2312"/>
          <w:color w:val="auto"/>
          <w:sz w:val="28"/>
          <w:szCs w:val="28"/>
          <w:lang w:eastAsia="zh-CN"/>
          <w:rPrChange w:id="10" w:author="桂林物协" w:date="2025-08-01T17:05:21Z">
            <w:rPr>
              <w:rStyle w:val="14"/>
              <w:rFonts w:hint="eastAsia" w:ascii="仿宋_GB2312" w:hAnsi="仿宋_GB2312" w:eastAsia="仿宋_GB2312" w:cs="仿宋_GB2312"/>
              <w:color w:val="auto"/>
              <w:sz w:val="32"/>
              <w:szCs w:val="32"/>
              <w:lang w:eastAsia="zh-CN"/>
            </w:rPr>
          </w:rPrChange>
        </w:rPr>
        <w:t>等自治组织</w:t>
      </w:r>
      <w:r>
        <w:rPr>
          <w:rStyle w:val="14"/>
          <w:rFonts w:hint="eastAsia" w:ascii="方正仿宋_GB2312" w:hAnsi="方正仿宋_GB2312" w:eastAsia="方正仿宋_GB2312" w:cs="方正仿宋_GB2312"/>
          <w:color w:val="auto"/>
          <w:sz w:val="28"/>
          <w:szCs w:val="28"/>
          <w:rPrChange w:id="11" w:author="桂林物协" w:date="2025-08-01T17:05:21Z">
            <w:rPr>
              <w:rStyle w:val="14"/>
              <w:rFonts w:hint="default" w:ascii="Times New Roman" w:hAnsi="Times New Roman" w:eastAsia="仿宋_GB2312" w:cs="Times New Roman"/>
              <w:color w:val="auto"/>
              <w:sz w:val="32"/>
              <w:szCs w:val="32"/>
            </w:rPr>
          </w:rPrChange>
        </w:rPr>
        <w:t>，业主委员会或物业管理委员会等运行规范。</w:t>
      </w:r>
    </w:p>
    <w:p w14:paraId="6E53132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Style w:val="14"/>
          <w:rFonts w:hint="eastAsia" w:ascii="方正仿宋_GB2312" w:hAnsi="方正仿宋_GB2312" w:eastAsia="方正仿宋_GB2312" w:cs="方正仿宋_GB2312"/>
          <w:color w:val="auto"/>
          <w:sz w:val="28"/>
          <w:szCs w:val="28"/>
          <w:rPrChange w:id="12" w:author="桂林物协" w:date="2025-08-01T17:05:21Z">
            <w:rPr>
              <w:rStyle w:val="14"/>
              <w:rFonts w:hint="default" w:ascii="Times New Roman" w:hAnsi="Times New Roman" w:eastAsia="仿宋_GB2312" w:cs="Times New Roman"/>
              <w:color w:val="auto"/>
              <w:sz w:val="32"/>
              <w:szCs w:val="32"/>
            </w:rPr>
          </w:rPrChange>
        </w:rPr>
      </w:pPr>
      <w:r>
        <w:rPr>
          <w:rStyle w:val="14"/>
          <w:rFonts w:hint="eastAsia" w:ascii="方正仿宋_GB2312" w:hAnsi="方正仿宋_GB2312" w:eastAsia="方正仿宋_GB2312" w:cs="方正仿宋_GB2312"/>
          <w:color w:val="auto"/>
          <w:sz w:val="28"/>
          <w:szCs w:val="28"/>
          <w:rPrChange w:id="13" w:author="桂林物协" w:date="2025-08-01T17:05:21Z">
            <w:rPr>
              <w:rStyle w:val="14"/>
              <w:rFonts w:hint="default" w:ascii="Times New Roman" w:hAnsi="Times New Roman" w:eastAsia="仿宋_GB2312" w:cs="Times New Roman"/>
              <w:color w:val="auto"/>
              <w:sz w:val="32"/>
              <w:szCs w:val="32"/>
            </w:rPr>
          </w:rPrChange>
        </w:rPr>
        <w:t>5.小区显著位置公示相关部门投诉、咨询电话。相关部门执法进小区，形成良好的部门协作机制。</w:t>
      </w:r>
    </w:p>
    <w:p w14:paraId="020B4B1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Style w:val="14"/>
          <w:rFonts w:hint="eastAsia" w:ascii="方正仿宋_GB2312" w:hAnsi="方正仿宋_GB2312" w:eastAsia="方正仿宋_GB2312" w:cs="方正仿宋_GB2312"/>
          <w:color w:val="auto"/>
          <w:sz w:val="28"/>
          <w:szCs w:val="28"/>
          <w:rPrChange w:id="14" w:author="桂林物协" w:date="2025-08-01T17:05:21Z">
            <w:rPr>
              <w:rStyle w:val="14"/>
              <w:rFonts w:hint="default" w:ascii="Times New Roman" w:hAnsi="Times New Roman" w:eastAsia="仿宋_GB2312" w:cs="Times New Roman"/>
              <w:color w:val="auto"/>
              <w:sz w:val="32"/>
              <w:szCs w:val="32"/>
            </w:rPr>
          </w:rPrChange>
        </w:rPr>
      </w:pPr>
      <w:r>
        <w:rPr>
          <w:rStyle w:val="14"/>
          <w:rFonts w:hint="eastAsia" w:ascii="方正仿宋_GB2312" w:hAnsi="方正仿宋_GB2312" w:eastAsia="方正仿宋_GB2312" w:cs="方正仿宋_GB2312"/>
          <w:color w:val="auto"/>
          <w:sz w:val="28"/>
          <w:szCs w:val="28"/>
          <w:rPrChange w:id="15" w:author="桂林物协" w:date="2025-08-01T17:05:21Z">
            <w:rPr>
              <w:rStyle w:val="14"/>
              <w:rFonts w:hint="default" w:ascii="Times New Roman" w:hAnsi="Times New Roman" w:eastAsia="仿宋_GB2312" w:cs="Times New Roman"/>
              <w:color w:val="auto"/>
              <w:sz w:val="32"/>
              <w:szCs w:val="32"/>
            </w:rPr>
          </w:rPrChange>
        </w:rPr>
        <w:t>6.小区实施专业化物业管理，物业服务规范，重大公共事件应急机制健全，物业服务企业1年内无行政处罚记录。</w:t>
      </w:r>
    </w:p>
    <w:p w14:paraId="07D7294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Style w:val="14"/>
          <w:rFonts w:hint="eastAsia" w:ascii="方正仿宋_GB2312" w:hAnsi="方正仿宋_GB2312" w:eastAsia="方正仿宋_GB2312" w:cs="方正仿宋_GB2312"/>
          <w:color w:val="auto"/>
          <w:sz w:val="28"/>
          <w:szCs w:val="28"/>
          <w:rPrChange w:id="16" w:author="桂林物协" w:date="2025-08-01T17:05:21Z">
            <w:rPr>
              <w:rStyle w:val="14"/>
              <w:rFonts w:hint="default" w:ascii="Times New Roman" w:hAnsi="Times New Roman" w:eastAsia="仿宋_GB2312" w:cs="Times New Roman"/>
              <w:color w:val="auto"/>
              <w:sz w:val="32"/>
              <w:szCs w:val="32"/>
            </w:rPr>
          </w:rPrChange>
        </w:rPr>
      </w:pPr>
      <w:r>
        <w:rPr>
          <w:rStyle w:val="14"/>
          <w:rFonts w:hint="eastAsia" w:ascii="方正仿宋_GB2312" w:hAnsi="方正仿宋_GB2312" w:eastAsia="方正仿宋_GB2312" w:cs="方正仿宋_GB2312"/>
          <w:color w:val="auto"/>
          <w:sz w:val="28"/>
          <w:szCs w:val="28"/>
          <w:rPrChange w:id="17" w:author="桂林物协" w:date="2025-08-01T17:05:21Z">
            <w:rPr>
              <w:rStyle w:val="14"/>
              <w:rFonts w:hint="default" w:ascii="Times New Roman" w:hAnsi="Times New Roman" w:eastAsia="仿宋_GB2312" w:cs="Times New Roman"/>
              <w:color w:val="auto"/>
              <w:sz w:val="32"/>
              <w:szCs w:val="32"/>
            </w:rPr>
          </w:rPrChange>
        </w:rPr>
        <w:t>7.小区环境整洁，共有设施设备维护到位，无违章搭建、占用堵塞消防车通道等现象，实现垃圾分类投放和收集。</w:t>
      </w:r>
    </w:p>
    <w:p w14:paraId="2018A9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Style w:val="14"/>
          <w:rFonts w:hint="eastAsia" w:ascii="方正仿宋_GB2312" w:hAnsi="方正仿宋_GB2312" w:eastAsia="方正仿宋_GB2312" w:cs="方正仿宋_GB2312"/>
          <w:color w:val="auto"/>
          <w:sz w:val="28"/>
          <w:szCs w:val="28"/>
          <w:rPrChange w:id="18" w:author="桂林物协" w:date="2025-08-01T17:05:21Z">
            <w:rPr>
              <w:rStyle w:val="14"/>
              <w:rFonts w:hint="default" w:ascii="Times New Roman" w:hAnsi="Times New Roman" w:eastAsia="仿宋_GB2312" w:cs="Times New Roman"/>
              <w:color w:val="auto"/>
              <w:sz w:val="32"/>
              <w:szCs w:val="32"/>
            </w:rPr>
          </w:rPrChange>
        </w:rPr>
      </w:pPr>
      <w:r>
        <w:rPr>
          <w:rStyle w:val="14"/>
          <w:rFonts w:hint="eastAsia" w:ascii="方正仿宋_GB2312" w:hAnsi="方正仿宋_GB2312" w:eastAsia="方正仿宋_GB2312" w:cs="方正仿宋_GB2312"/>
          <w:color w:val="auto"/>
          <w:sz w:val="28"/>
          <w:szCs w:val="28"/>
          <w:rPrChange w:id="19" w:author="桂林物协" w:date="2025-08-01T17:05:21Z">
            <w:rPr>
              <w:rStyle w:val="14"/>
              <w:rFonts w:hint="default" w:ascii="Times New Roman" w:hAnsi="Times New Roman" w:eastAsia="仿宋_GB2312" w:cs="Times New Roman"/>
              <w:color w:val="auto"/>
              <w:sz w:val="32"/>
              <w:szCs w:val="32"/>
            </w:rPr>
          </w:rPrChange>
        </w:rPr>
        <w:t>8.小区物业服务标准和收费等信息公示规范，物业费收费率不低于95%。</w:t>
      </w:r>
    </w:p>
    <w:p w14:paraId="6D38D082">
      <w:pPr>
        <w:spacing w:line="590" w:lineRule="exact"/>
        <w:rPr>
          <w:rStyle w:val="14"/>
          <w:rFonts w:hint="default" w:ascii="Times New Roman" w:hAnsi="Times New Roman" w:eastAsia="黑体" w:cs="Times New Roman"/>
          <w:color w:val="auto"/>
          <w:sz w:val="32"/>
          <w:szCs w:val="32"/>
          <w:lang w:val="en-US" w:eastAsia="zh-CN"/>
        </w:rPr>
      </w:pPr>
      <w:r>
        <w:rPr>
          <w:rStyle w:val="14"/>
          <w:rFonts w:hint="default" w:ascii="Times New Roman" w:hAnsi="Times New Roman" w:eastAsia="仿宋_GB2312" w:cs="Times New Roman"/>
          <w:color w:val="auto"/>
          <w:sz w:val="32"/>
          <w:szCs w:val="32"/>
        </w:rPr>
        <w:br w:type="page"/>
      </w:r>
      <w:r>
        <w:rPr>
          <w:rStyle w:val="14"/>
          <w:rFonts w:hint="default" w:ascii="Times New Roman" w:hAnsi="Times New Roman" w:eastAsia="黑体" w:cs="Times New Roman"/>
          <w:color w:val="auto"/>
          <w:sz w:val="32"/>
          <w:szCs w:val="32"/>
        </w:rPr>
        <w:t>附件</w:t>
      </w:r>
      <w:r>
        <w:rPr>
          <w:rStyle w:val="14"/>
          <w:rFonts w:hint="default" w:ascii="Times New Roman" w:hAnsi="Times New Roman" w:eastAsia="黑体" w:cs="Times New Roman"/>
          <w:color w:val="auto"/>
          <w:sz w:val="32"/>
          <w:szCs w:val="32"/>
          <w:lang w:val="en-US" w:eastAsia="zh-CN"/>
        </w:rPr>
        <w:t>3</w:t>
      </w:r>
    </w:p>
    <w:p w14:paraId="3D2D2A85">
      <w:pPr>
        <w:spacing w:line="590" w:lineRule="exact"/>
        <w:jc w:val="center"/>
        <w:rPr>
          <w:rStyle w:val="14"/>
          <w:rFonts w:hint="eastAsia" w:ascii="方正小标宋_GBK" w:hAnsi="方正小标宋_GBK" w:eastAsia="方正小标宋_GBK" w:cs="方正小标宋_GBK"/>
          <w:color w:val="auto"/>
          <w:sz w:val="44"/>
          <w:szCs w:val="44"/>
          <w:lang w:val="en-US" w:eastAsia="zh-CN"/>
        </w:rPr>
      </w:pPr>
      <w:r>
        <w:rPr>
          <w:rStyle w:val="14"/>
          <w:rFonts w:hint="eastAsia" w:ascii="方正小标宋_GBK" w:hAnsi="方正小标宋_GBK" w:eastAsia="方正小标宋_GBK" w:cs="方正小标宋_GBK"/>
          <w:color w:val="auto"/>
          <w:sz w:val="44"/>
          <w:szCs w:val="44"/>
          <w:lang w:val="en-US" w:eastAsia="zh-CN"/>
        </w:rPr>
        <w:t>2025年度“美好家园”小区选树标准细则</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199"/>
        <w:gridCol w:w="759"/>
        <w:gridCol w:w="4800"/>
        <w:gridCol w:w="672"/>
        <w:gridCol w:w="480"/>
      </w:tblGrid>
      <w:tr w14:paraId="2175E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blHeader/>
          <w:jc w:val="center"/>
        </w:trPr>
        <w:tc>
          <w:tcPr>
            <w:tcW w:w="641" w:type="dxa"/>
            <w:noWrap w:val="0"/>
            <w:vAlign w:val="center"/>
          </w:tcPr>
          <w:p w14:paraId="2C577AF9">
            <w:pPr>
              <w:keepNext w:val="0"/>
              <w:keepLines w:val="0"/>
              <w:widowControl/>
              <w:suppressLineNumbers w:val="0"/>
              <w:spacing w:line="360" w:lineRule="exact"/>
              <w:jc w:val="center"/>
              <w:textAlignment w:val="auto"/>
              <w:rPr>
                <w:rFonts w:hint="default" w:ascii="Times New Roman" w:hAnsi="Times New Roman" w:eastAsia="方正黑体_GBK" w:cs="Times New Roman"/>
                <w:i w:val="0"/>
                <w:iCs w:val="0"/>
                <w:color w:val="auto"/>
                <w:sz w:val="21"/>
                <w:szCs w:val="21"/>
                <w:u w:val="none"/>
              </w:rPr>
            </w:pPr>
            <w:r>
              <w:rPr>
                <w:rFonts w:hint="default" w:ascii="Times New Roman" w:hAnsi="Times New Roman" w:eastAsia="方正黑体_GBK" w:cs="Times New Roman"/>
                <w:i w:val="0"/>
                <w:iCs w:val="0"/>
                <w:color w:val="auto"/>
                <w:kern w:val="0"/>
                <w:sz w:val="21"/>
                <w:szCs w:val="21"/>
                <w:u w:val="none"/>
                <w:lang w:val="en-US" w:eastAsia="zh-CN" w:bidi="ar"/>
              </w:rPr>
              <w:t>选树项目</w:t>
            </w:r>
          </w:p>
        </w:tc>
        <w:tc>
          <w:tcPr>
            <w:tcW w:w="2199" w:type="dxa"/>
            <w:noWrap w:val="0"/>
            <w:vAlign w:val="center"/>
          </w:tcPr>
          <w:p w14:paraId="50E49651">
            <w:pPr>
              <w:keepNext w:val="0"/>
              <w:keepLines w:val="0"/>
              <w:widowControl/>
              <w:suppressLineNumbers w:val="0"/>
              <w:spacing w:line="360" w:lineRule="exact"/>
              <w:jc w:val="center"/>
              <w:textAlignment w:val="auto"/>
              <w:rPr>
                <w:rFonts w:hint="default" w:ascii="Times New Roman" w:hAnsi="Times New Roman" w:eastAsia="方正黑体_GBK" w:cs="Times New Roman"/>
                <w:i w:val="0"/>
                <w:iCs w:val="0"/>
                <w:color w:val="auto"/>
                <w:sz w:val="21"/>
                <w:szCs w:val="21"/>
                <w:u w:val="none"/>
              </w:rPr>
            </w:pPr>
            <w:r>
              <w:rPr>
                <w:rFonts w:hint="default" w:ascii="Times New Roman" w:hAnsi="Times New Roman" w:eastAsia="方正黑体_GBK" w:cs="Times New Roman"/>
                <w:i w:val="0"/>
                <w:iCs w:val="0"/>
                <w:color w:val="auto"/>
                <w:kern w:val="0"/>
                <w:sz w:val="21"/>
                <w:szCs w:val="21"/>
                <w:u w:val="none"/>
                <w:lang w:val="en-US" w:eastAsia="zh-CN" w:bidi="ar"/>
              </w:rPr>
              <w:t>选树标准</w:t>
            </w:r>
          </w:p>
        </w:tc>
        <w:tc>
          <w:tcPr>
            <w:tcW w:w="759" w:type="dxa"/>
            <w:noWrap w:val="0"/>
            <w:vAlign w:val="center"/>
          </w:tcPr>
          <w:p w14:paraId="563A90B4">
            <w:pPr>
              <w:keepNext w:val="0"/>
              <w:keepLines w:val="0"/>
              <w:widowControl/>
              <w:suppressLineNumbers w:val="0"/>
              <w:spacing w:line="360" w:lineRule="exact"/>
              <w:jc w:val="center"/>
              <w:textAlignment w:val="auto"/>
              <w:rPr>
                <w:rFonts w:hint="default" w:ascii="Times New Roman" w:hAnsi="Times New Roman" w:eastAsia="方正黑体_GBK" w:cs="Times New Roman"/>
                <w:i w:val="0"/>
                <w:iCs w:val="0"/>
                <w:color w:val="auto"/>
                <w:sz w:val="21"/>
                <w:szCs w:val="21"/>
                <w:u w:val="none"/>
              </w:rPr>
            </w:pPr>
            <w:r>
              <w:rPr>
                <w:rFonts w:hint="default" w:ascii="Times New Roman" w:hAnsi="Times New Roman" w:eastAsia="方正黑体_GBK" w:cs="Times New Roman"/>
                <w:i w:val="0"/>
                <w:iCs w:val="0"/>
                <w:color w:val="auto"/>
                <w:kern w:val="0"/>
                <w:sz w:val="21"/>
                <w:szCs w:val="21"/>
                <w:u w:val="none"/>
                <w:lang w:val="en-US" w:eastAsia="zh-CN" w:bidi="ar"/>
              </w:rPr>
              <w:t>规定分值</w:t>
            </w:r>
          </w:p>
        </w:tc>
        <w:tc>
          <w:tcPr>
            <w:tcW w:w="4800" w:type="dxa"/>
            <w:noWrap w:val="0"/>
            <w:vAlign w:val="center"/>
          </w:tcPr>
          <w:p w14:paraId="128FE85D">
            <w:pPr>
              <w:keepNext w:val="0"/>
              <w:keepLines w:val="0"/>
              <w:widowControl/>
              <w:suppressLineNumbers w:val="0"/>
              <w:spacing w:line="360" w:lineRule="exact"/>
              <w:jc w:val="center"/>
              <w:textAlignment w:val="auto"/>
              <w:rPr>
                <w:rFonts w:hint="default" w:ascii="Times New Roman" w:hAnsi="Times New Roman" w:eastAsia="方正黑体_GBK" w:cs="Times New Roman"/>
                <w:i w:val="0"/>
                <w:iCs w:val="0"/>
                <w:color w:val="auto"/>
                <w:sz w:val="21"/>
                <w:szCs w:val="21"/>
                <w:u w:val="none"/>
              </w:rPr>
            </w:pPr>
            <w:r>
              <w:rPr>
                <w:rFonts w:hint="default" w:ascii="Times New Roman" w:hAnsi="Times New Roman" w:eastAsia="方正黑体_GBK" w:cs="Times New Roman"/>
                <w:i w:val="0"/>
                <w:iCs w:val="0"/>
                <w:color w:val="auto"/>
                <w:kern w:val="0"/>
                <w:sz w:val="21"/>
                <w:szCs w:val="21"/>
                <w:u w:val="none"/>
                <w:lang w:val="en-US" w:eastAsia="zh-CN" w:bidi="ar"/>
              </w:rPr>
              <w:t>标准</w:t>
            </w:r>
          </w:p>
        </w:tc>
        <w:tc>
          <w:tcPr>
            <w:tcW w:w="672" w:type="dxa"/>
            <w:noWrap w:val="0"/>
            <w:vAlign w:val="center"/>
          </w:tcPr>
          <w:p w14:paraId="5EF6BD28">
            <w:pPr>
              <w:keepNext w:val="0"/>
              <w:keepLines w:val="0"/>
              <w:widowControl/>
              <w:suppressLineNumbers w:val="0"/>
              <w:spacing w:line="360" w:lineRule="exact"/>
              <w:jc w:val="center"/>
              <w:textAlignment w:val="auto"/>
              <w:rPr>
                <w:rFonts w:hint="default" w:ascii="Times New Roman" w:hAnsi="Times New Roman" w:eastAsia="方正黑体_GBK" w:cs="Times New Roman"/>
                <w:i w:val="0"/>
                <w:iCs w:val="0"/>
                <w:color w:val="auto"/>
                <w:sz w:val="21"/>
                <w:szCs w:val="21"/>
                <w:u w:val="none"/>
              </w:rPr>
            </w:pPr>
            <w:r>
              <w:rPr>
                <w:rStyle w:val="16"/>
                <w:rFonts w:hint="default" w:ascii="Times New Roman" w:hAnsi="Times New Roman" w:eastAsia="方正黑体_GBK" w:cs="Times New Roman"/>
                <w:color w:val="auto"/>
                <w:sz w:val="21"/>
                <w:szCs w:val="21"/>
                <w:lang w:val="en-US" w:eastAsia="zh-CN" w:bidi="ar"/>
              </w:rPr>
              <w:t>实际得分</w:t>
            </w:r>
          </w:p>
        </w:tc>
        <w:tc>
          <w:tcPr>
            <w:tcW w:w="480" w:type="dxa"/>
            <w:noWrap w:val="0"/>
            <w:vAlign w:val="center"/>
          </w:tcPr>
          <w:p w14:paraId="1542D2F5">
            <w:pPr>
              <w:keepNext w:val="0"/>
              <w:keepLines w:val="0"/>
              <w:widowControl/>
              <w:suppressLineNumbers w:val="0"/>
              <w:spacing w:line="360" w:lineRule="exact"/>
              <w:jc w:val="center"/>
              <w:textAlignment w:val="auto"/>
              <w:rPr>
                <w:rFonts w:hint="default" w:ascii="Times New Roman" w:hAnsi="Times New Roman" w:eastAsia="方正黑体_GBK" w:cs="Times New Roman"/>
                <w:i w:val="0"/>
                <w:iCs w:val="0"/>
                <w:color w:val="auto"/>
                <w:sz w:val="21"/>
                <w:szCs w:val="21"/>
                <w:u w:val="none"/>
              </w:rPr>
            </w:pPr>
            <w:r>
              <w:rPr>
                <w:rStyle w:val="16"/>
                <w:rFonts w:hint="default" w:ascii="Times New Roman" w:hAnsi="Times New Roman" w:eastAsia="方正黑体_GBK" w:cs="Times New Roman"/>
                <w:color w:val="auto"/>
                <w:sz w:val="21"/>
                <w:szCs w:val="21"/>
                <w:lang w:val="en-US" w:eastAsia="zh-CN" w:bidi="ar"/>
              </w:rPr>
              <w:t>备注</w:t>
            </w:r>
          </w:p>
        </w:tc>
      </w:tr>
      <w:tr w14:paraId="6BDD5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jc w:val="center"/>
        </w:trPr>
        <w:tc>
          <w:tcPr>
            <w:tcW w:w="641" w:type="dxa"/>
            <w:vMerge w:val="restart"/>
            <w:noWrap w:val="0"/>
            <w:vAlign w:val="center"/>
          </w:tcPr>
          <w:p w14:paraId="5031A550">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一、党建引领机制完善（20分）</w:t>
            </w:r>
          </w:p>
        </w:tc>
        <w:tc>
          <w:tcPr>
            <w:tcW w:w="2199" w:type="dxa"/>
            <w:noWrap w:val="0"/>
            <w:vAlign w:val="center"/>
          </w:tcPr>
          <w:p w14:paraId="03DC0486">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1.所在街道健全街道党（工）委统一协调，相关部门联动执法，协同解决物业管理问题的工作机制</w:t>
            </w:r>
          </w:p>
        </w:tc>
        <w:tc>
          <w:tcPr>
            <w:tcW w:w="759" w:type="dxa"/>
            <w:noWrap/>
            <w:vAlign w:val="center"/>
          </w:tcPr>
          <w:p w14:paraId="7E5F9889">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w:t>
            </w:r>
          </w:p>
        </w:tc>
        <w:tc>
          <w:tcPr>
            <w:tcW w:w="4800" w:type="dxa"/>
            <w:noWrap w:val="0"/>
            <w:vAlign w:val="center"/>
          </w:tcPr>
          <w:p w14:paraId="0C8D65DD">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（1）所在街道健全工作机制的得2分，工作机制不健全的不得分；（2）建立工作规则和工作程序的得1分，工作规则不完善的扣0.5—1分；（3）定期协同解决物业管理问题的得1分，不正常的扣0.5—1分。</w:t>
            </w:r>
          </w:p>
        </w:tc>
        <w:tc>
          <w:tcPr>
            <w:tcW w:w="672" w:type="dxa"/>
            <w:noWrap/>
            <w:vAlign w:val="center"/>
          </w:tcPr>
          <w:p w14:paraId="00B38F6B">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28158BE0">
            <w:pPr>
              <w:spacing w:line="300" w:lineRule="exact"/>
              <w:rPr>
                <w:rFonts w:hint="default" w:ascii="Times New Roman" w:hAnsi="Times New Roman" w:eastAsia="方正仿宋_GBK" w:cs="Times New Roman"/>
                <w:i w:val="0"/>
                <w:iCs w:val="0"/>
                <w:color w:val="auto"/>
                <w:sz w:val="21"/>
                <w:szCs w:val="21"/>
                <w:u w:val="none"/>
              </w:rPr>
            </w:pPr>
          </w:p>
        </w:tc>
      </w:tr>
      <w:tr w14:paraId="34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jc w:val="center"/>
        </w:trPr>
        <w:tc>
          <w:tcPr>
            <w:tcW w:w="641" w:type="dxa"/>
            <w:vMerge w:val="continue"/>
            <w:noWrap w:val="0"/>
            <w:vAlign w:val="center"/>
          </w:tcPr>
          <w:p w14:paraId="71283B4B">
            <w:pPr>
              <w:spacing w:line="300" w:lineRule="exact"/>
              <w:jc w:val="center"/>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66CC9DF1">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2.多方联动机制或联席会议制度有效落实，对涉及物业管理的重大事项、重要问题、重点工作能共同协商解决</w:t>
            </w:r>
          </w:p>
        </w:tc>
        <w:tc>
          <w:tcPr>
            <w:tcW w:w="759" w:type="dxa"/>
            <w:noWrap/>
            <w:vAlign w:val="center"/>
          </w:tcPr>
          <w:p w14:paraId="6CCF57E8">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w:t>
            </w:r>
          </w:p>
        </w:tc>
        <w:tc>
          <w:tcPr>
            <w:tcW w:w="4800" w:type="dxa"/>
            <w:noWrap w:val="0"/>
            <w:vAlign w:val="center"/>
          </w:tcPr>
          <w:p w14:paraId="736057C7">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建立联席会议制度等民主协商议事机制的得2分，民主协商议事机制不健全的不得分；（2）建立议事规则和议事程序的得1分，议事规则不完善的扣0.5—1分；（3）定期协商事务的得1分，协商不正常的扣0.5—1分。</w:t>
            </w:r>
          </w:p>
        </w:tc>
        <w:tc>
          <w:tcPr>
            <w:tcW w:w="672" w:type="dxa"/>
            <w:noWrap/>
            <w:vAlign w:val="center"/>
          </w:tcPr>
          <w:p w14:paraId="3F98757B">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0291EFCA">
            <w:pPr>
              <w:spacing w:line="300" w:lineRule="exact"/>
              <w:rPr>
                <w:rFonts w:hint="default" w:ascii="Times New Roman" w:hAnsi="Times New Roman" w:eastAsia="方正仿宋_GBK" w:cs="Times New Roman"/>
                <w:i w:val="0"/>
                <w:iCs w:val="0"/>
                <w:color w:val="auto"/>
                <w:sz w:val="21"/>
                <w:szCs w:val="21"/>
                <w:u w:val="none"/>
              </w:rPr>
            </w:pPr>
          </w:p>
        </w:tc>
      </w:tr>
      <w:tr w14:paraId="6ADED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5" w:hRule="atLeast"/>
          <w:jc w:val="center"/>
        </w:trPr>
        <w:tc>
          <w:tcPr>
            <w:tcW w:w="641" w:type="dxa"/>
            <w:vMerge w:val="continue"/>
            <w:noWrap w:val="0"/>
            <w:vAlign w:val="center"/>
          </w:tcPr>
          <w:p w14:paraId="2B7F8634">
            <w:pPr>
              <w:spacing w:line="300" w:lineRule="exact"/>
              <w:jc w:val="center"/>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7D6A7049">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3.小区有党建活动场所，通过社区物业党建联建或选派党建指导员等方式，实现党的工作覆盖</w:t>
            </w:r>
          </w:p>
        </w:tc>
        <w:tc>
          <w:tcPr>
            <w:tcW w:w="759" w:type="dxa"/>
            <w:noWrap/>
            <w:vAlign w:val="center"/>
          </w:tcPr>
          <w:p w14:paraId="2B519E25">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w:t>
            </w:r>
          </w:p>
        </w:tc>
        <w:tc>
          <w:tcPr>
            <w:tcW w:w="4800" w:type="dxa"/>
            <w:noWrap w:val="0"/>
            <w:vAlign w:val="center"/>
          </w:tcPr>
          <w:p w14:paraId="0CC37D4D">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按300平方米以上规定面积标准建设小区党群服务中心的得2分，已建设小区党群服务中心但建筑面积不满300平方米的得1.5分，未建设小区党群服务中心但有党建活动场所的得1分，未建设党建活动场所不得分；（2）有3名以上党员的物业服务企业（项目）建立党组织的得2分，不足3名党员但成立联合党组织得1.5分，未成立联合党组织有党员的得0.5分，没有党员但派驻党建工作指导员的得0.5分，不派驻党建工作指导员不得分。</w:t>
            </w:r>
          </w:p>
        </w:tc>
        <w:tc>
          <w:tcPr>
            <w:tcW w:w="672" w:type="dxa"/>
            <w:noWrap/>
            <w:vAlign w:val="center"/>
          </w:tcPr>
          <w:p w14:paraId="5AF7FDB7">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1D0CE334">
            <w:pPr>
              <w:spacing w:line="300" w:lineRule="exact"/>
              <w:rPr>
                <w:rFonts w:hint="default" w:ascii="Times New Roman" w:hAnsi="Times New Roman" w:eastAsia="方正仿宋_GBK" w:cs="Times New Roman"/>
                <w:i w:val="0"/>
                <w:iCs w:val="0"/>
                <w:color w:val="auto"/>
                <w:sz w:val="21"/>
                <w:szCs w:val="21"/>
                <w:u w:val="none"/>
              </w:rPr>
            </w:pPr>
          </w:p>
        </w:tc>
      </w:tr>
      <w:tr w14:paraId="20EE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641" w:type="dxa"/>
            <w:vMerge w:val="continue"/>
            <w:noWrap w:val="0"/>
            <w:vAlign w:val="center"/>
          </w:tcPr>
          <w:p w14:paraId="55DDA614">
            <w:pPr>
              <w:spacing w:line="300" w:lineRule="exact"/>
              <w:jc w:val="center"/>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216C0161">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4.小区建立社区党组织领导下的社区居民委员会、业主委员会（物业管理委员会）、物业服务企业协调运行机制</w:t>
            </w:r>
          </w:p>
        </w:tc>
        <w:tc>
          <w:tcPr>
            <w:tcW w:w="759" w:type="dxa"/>
            <w:noWrap/>
            <w:vAlign w:val="center"/>
          </w:tcPr>
          <w:p w14:paraId="133C20ED">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w:t>
            </w:r>
          </w:p>
        </w:tc>
        <w:tc>
          <w:tcPr>
            <w:tcW w:w="4800" w:type="dxa"/>
            <w:noWrap w:val="0"/>
            <w:vAlign w:val="center"/>
          </w:tcPr>
          <w:p w14:paraId="106071F9">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建立运行机制的得2分，运行机制不健全的不得分；（2）建立协调规则和协调程序的得1分，协调规则不完善的扣0.5—1分；（3）协调解决事务1次得0.2分，同一事项不累计加分，不同事务累计得分满1分后，不计分。</w:t>
            </w:r>
          </w:p>
        </w:tc>
        <w:tc>
          <w:tcPr>
            <w:tcW w:w="672" w:type="dxa"/>
            <w:noWrap/>
            <w:vAlign w:val="center"/>
          </w:tcPr>
          <w:p w14:paraId="504EB06E">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73CAB838">
            <w:pPr>
              <w:spacing w:line="300" w:lineRule="exact"/>
              <w:rPr>
                <w:rFonts w:hint="default" w:ascii="Times New Roman" w:hAnsi="Times New Roman" w:eastAsia="方正仿宋_GBK" w:cs="Times New Roman"/>
                <w:i w:val="0"/>
                <w:iCs w:val="0"/>
                <w:color w:val="auto"/>
                <w:sz w:val="21"/>
                <w:szCs w:val="21"/>
                <w:u w:val="none"/>
              </w:rPr>
            </w:pPr>
          </w:p>
        </w:tc>
      </w:tr>
      <w:tr w14:paraId="5EB8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641" w:type="dxa"/>
            <w:vMerge w:val="continue"/>
            <w:noWrap w:val="0"/>
            <w:vAlign w:val="center"/>
          </w:tcPr>
          <w:p w14:paraId="7596A8C6">
            <w:pPr>
              <w:spacing w:line="300" w:lineRule="exact"/>
              <w:jc w:val="center"/>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396BC766">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5.小区组织开展精神文明活动，宣传党的二十大精神和社会主义核心价值观，丰富群众文化生活</w:t>
            </w:r>
          </w:p>
        </w:tc>
        <w:tc>
          <w:tcPr>
            <w:tcW w:w="759" w:type="dxa"/>
            <w:noWrap/>
            <w:vAlign w:val="center"/>
          </w:tcPr>
          <w:p w14:paraId="4856A4C1">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w:t>
            </w:r>
          </w:p>
        </w:tc>
        <w:tc>
          <w:tcPr>
            <w:tcW w:w="4800" w:type="dxa"/>
            <w:noWrap w:val="0"/>
            <w:vAlign w:val="center"/>
          </w:tcPr>
          <w:p w14:paraId="7CA4E1E6">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2022年以来，小区联合或自主开展过精神文明活动，活动内容含党的二十大精神或社会主义核心价值观宣传内容1次的得0.5分，活动内容不含党的二十大精神或社会主义核心价值观宣传内容的不得分，累计活动得分满4分后，不计分。</w:t>
            </w:r>
          </w:p>
        </w:tc>
        <w:tc>
          <w:tcPr>
            <w:tcW w:w="672" w:type="dxa"/>
            <w:noWrap/>
            <w:vAlign w:val="center"/>
          </w:tcPr>
          <w:p w14:paraId="63D1412B">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7C3CEDF8">
            <w:pPr>
              <w:spacing w:line="300" w:lineRule="exact"/>
              <w:rPr>
                <w:rFonts w:hint="default" w:ascii="Times New Roman" w:hAnsi="Times New Roman" w:eastAsia="方正仿宋_GBK" w:cs="Times New Roman"/>
                <w:i w:val="0"/>
                <w:iCs w:val="0"/>
                <w:color w:val="auto"/>
                <w:sz w:val="21"/>
                <w:szCs w:val="21"/>
                <w:u w:val="none"/>
              </w:rPr>
            </w:pPr>
          </w:p>
        </w:tc>
      </w:tr>
      <w:tr w14:paraId="08BD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restart"/>
            <w:noWrap w:val="0"/>
            <w:vAlign w:val="center"/>
          </w:tcPr>
          <w:p w14:paraId="6BE9F8ED">
            <w:pPr>
              <w:keepNext w:val="0"/>
              <w:keepLines w:val="0"/>
              <w:widowControl/>
              <w:suppressLineNumbers w:val="0"/>
              <w:spacing w:line="300" w:lineRule="exact"/>
              <w:jc w:val="left"/>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二、业主委员会和物业管理委员会等运行规范（20分）</w:t>
            </w:r>
          </w:p>
        </w:tc>
        <w:tc>
          <w:tcPr>
            <w:tcW w:w="2199" w:type="dxa"/>
            <w:noWrap w:val="0"/>
            <w:vAlign w:val="center"/>
          </w:tcPr>
          <w:p w14:paraId="1D5B3045">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1.街道社区党组织做好业主委员会人选推荐把关工作，组织业主成立业主大会，选举产生业主委员会，或指导组建物业管理委员会</w:t>
            </w:r>
          </w:p>
        </w:tc>
        <w:tc>
          <w:tcPr>
            <w:tcW w:w="759" w:type="dxa"/>
            <w:noWrap/>
            <w:vAlign w:val="center"/>
          </w:tcPr>
          <w:p w14:paraId="18032DE2">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5</w:t>
            </w:r>
          </w:p>
        </w:tc>
        <w:tc>
          <w:tcPr>
            <w:tcW w:w="4800" w:type="dxa"/>
            <w:noWrap w:val="0"/>
            <w:vAlign w:val="center"/>
          </w:tcPr>
          <w:p w14:paraId="30BACE4D">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（1）召开业主大会选举成立业主委员会的得5分；（2）未召开业主大会但成立物业管理委员会的得5分；（3）业主委员会、物业管理委员会不健全的不得分。</w:t>
            </w:r>
          </w:p>
        </w:tc>
        <w:tc>
          <w:tcPr>
            <w:tcW w:w="672" w:type="dxa"/>
            <w:noWrap/>
            <w:vAlign w:val="center"/>
          </w:tcPr>
          <w:p w14:paraId="5B8EB73F">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38FC27B2">
            <w:pPr>
              <w:spacing w:line="300" w:lineRule="exact"/>
              <w:rPr>
                <w:rFonts w:hint="default" w:ascii="Times New Roman" w:hAnsi="Times New Roman" w:eastAsia="方正仿宋_GBK" w:cs="Times New Roman"/>
                <w:i w:val="0"/>
                <w:iCs w:val="0"/>
                <w:color w:val="auto"/>
                <w:sz w:val="21"/>
                <w:szCs w:val="21"/>
                <w:u w:val="none"/>
              </w:rPr>
            </w:pPr>
          </w:p>
        </w:tc>
      </w:tr>
      <w:tr w14:paraId="41B1D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continue"/>
            <w:noWrap w:val="0"/>
            <w:vAlign w:val="center"/>
          </w:tcPr>
          <w:p w14:paraId="10CBDEE3">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5B0D4041">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2.业主委员会或物业管理委员会成员中的党员占比较高</w:t>
            </w:r>
          </w:p>
        </w:tc>
        <w:tc>
          <w:tcPr>
            <w:tcW w:w="759" w:type="dxa"/>
            <w:noWrap/>
            <w:vAlign w:val="center"/>
          </w:tcPr>
          <w:p w14:paraId="4DCD9571">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5</w:t>
            </w:r>
          </w:p>
        </w:tc>
        <w:tc>
          <w:tcPr>
            <w:tcW w:w="4800" w:type="dxa"/>
            <w:noWrap w:val="0"/>
            <w:vAlign w:val="center"/>
          </w:tcPr>
          <w:p w14:paraId="0E061891">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有3名以上党员的业主委员会（物业管理委员会）建立党组织的得3分，有3名以上党员成立功能性党组织的得3分，不足3名党员但成立联合党组织或功能性党组织的得2分，未成立联合党组织有党员的得1分，没有党员不得分；（2）业主委员会（物业管理委员会）委员是党员的得0.5分，累计得分满2分后不计分，不是党员的不得分。</w:t>
            </w:r>
          </w:p>
        </w:tc>
        <w:tc>
          <w:tcPr>
            <w:tcW w:w="672" w:type="dxa"/>
            <w:noWrap/>
            <w:vAlign w:val="center"/>
          </w:tcPr>
          <w:p w14:paraId="386B2B89">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1A884C62">
            <w:pPr>
              <w:spacing w:line="300" w:lineRule="exact"/>
              <w:rPr>
                <w:rFonts w:hint="default" w:ascii="Times New Roman" w:hAnsi="Times New Roman" w:eastAsia="方正仿宋_GBK" w:cs="Times New Roman"/>
                <w:i w:val="0"/>
                <w:iCs w:val="0"/>
                <w:color w:val="auto"/>
                <w:sz w:val="21"/>
                <w:szCs w:val="21"/>
                <w:u w:val="none"/>
              </w:rPr>
            </w:pPr>
          </w:p>
        </w:tc>
      </w:tr>
      <w:tr w14:paraId="52A19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continue"/>
            <w:noWrap w:val="0"/>
            <w:vAlign w:val="center"/>
          </w:tcPr>
          <w:p w14:paraId="7C5830C1">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70FD4154">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Style w:val="17"/>
                <w:rFonts w:hint="default" w:ascii="Times New Roman" w:hAnsi="Times New Roman" w:eastAsia="方正仿宋_GBK" w:cs="Times New Roman"/>
                <w:color w:val="auto"/>
                <w:sz w:val="21"/>
                <w:szCs w:val="21"/>
                <w:lang w:val="en-US" w:eastAsia="zh-CN" w:bidi="ar"/>
              </w:rPr>
              <w:t>3.业</w:t>
            </w:r>
            <w:r>
              <w:rPr>
                <w:rStyle w:val="18"/>
                <w:rFonts w:hint="default" w:ascii="Times New Roman" w:hAnsi="Times New Roman" w:eastAsia="方正仿宋_GBK" w:cs="Times New Roman"/>
                <w:color w:val="auto"/>
                <w:sz w:val="21"/>
                <w:szCs w:val="21"/>
                <w:lang w:val="en-US" w:eastAsia="zh-CN" w:bidi="ar"/>
              </w:rPr>
              <w:t>主委</w:t>
            </w:r>
            <w:r>
              <w:rPr>
                <w:rStyle w:val="17"/>
                <w:rFonts w:hint="default" w:ascii="Times New Roman" w:hAnsi="Times New Roman" w:eastAsia="方正仿宋_GBK" w:cs="Times New Roman"/>
                <w:color w:val="auto"/>
                <w:sz w:val="21"/>
                <w:szCs w:val="21"/>
                <w:lang w:val="en-US" w:eastAsia="zh-CN" w:bidi="ar"/>
              </w:rPr>
              <w:t>员</w:t>
            </w:r>
            <w:r>
              <w:rPr>
                <w:rStyle w:val="18"/>
                <w:rFonts w:hint="default" w:ascii="Times New Roman" w:hAnsi="Times New Roman" w:eastAsia="方正仿宋_GBK" w:cs="Times New Roman"/>
                <w:color w:val="auto"/>
                <w:sz w:val="21"/>
                <w:szCs w:val="21"/>
                <w:lang w:val="en-US" w:eastAsia="zh-CN" w:bidi="ar"/>
              </w:rPr>
              <w:t>会或物业管理委员会定期向业主公布共有部分经营与收益、维修资金使用、经费开支等信</w:t>
            </w:r>
            <w:r>
              <w:rPr>
                <w:rStyle w:val="17"/>
                <w:rFonts w:hint="default" w:ascii="Times New Roman" w:hAnsi="Times New Roman" w:eastAsia="方正仿宋_GBK" w:cs="Times New Roman"/>
                <w:color w:val="auto"/>
                <w:sz w:val="21"/>
                <w:szCs w:val="21"/>
                <w:lang w:val="en-US" w:eastAsia="zh-CN" w:bidi="ar"/>
              </w:rPr>
              <w:t>息</w:t>
            </w:r>
          </w:p>
        </w:tc>
        <w:tc>
          <w:tcPr>
            <w:tcW w:w="759" w:type="dxa"/>
            <w:noWrap/>
            <w:vAlign w:val="center"/>
          </w:tcPr>
          <w:p w14:paraId="11760F5B">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5</w:t>
            </w:r>
          </w:p>
        </w:tc>
        <w:tc>
          <w:tcPr>
            <w:tcW w:w="4800" w:type="dxa"/>
            <w:noWrap w:val="0"/>
            <w:vAlign w:val="center"/>
          </w:tcPr>
          <w:p w14:paraId="53066D3C">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建立信息公开制度的得1分，信息公开制度不健全或未建立不得分；（2）在小区显著位置持续公开业主大会议事规则、管理规约，业主大会和业主委员会决定，物业服务合同（自行管理方案），业主大会决定利用物业管理区域内道路、场地、架空层等业主共有部分划定公共车位停放车辆的位置及其处分情况的得1分，少一项或未公示、公示时间不正常的扣0.5分，扣完为止；（3）每半年公布一次且公示期不少于三十日的公示物业专项维修资金的筹集、使用、收益情况，物业共用部位、共用设施设备的经营收益及其分配、使用详细情况，业主大会、业主委员会的工作经费和业主委员会工作津贴详细情况的，得1.5分，少一项或未公示、公示时间不正常的扣0.5分，扣完为止；（4）每半年公布一次业主委员会委员、候补委员交纳物业专项维修资金、物业费、停车费等相关费用情况以及停车位使用情况的得1.5分，少一项或未公示、公示时间不正常的扣0.5分，扣完为止。</w:t>
            </w:r>
          </w:p>
        </w:tc>
        <w:tc>
          <w:tcPr>
            <w:tcW w:w="672" w:type="dxa"/>
            <w:noWrap/>
            <w:vAlign w:val="center"/>
          </w:tcPr>
          <w:p w14:paraId="03C22C20">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40CDE13A">
            <w:pPr>
              <w:spacing w:line="300" w:lineRule="exact"/>
              <w:rPr>
                <w:rFonts w:hint="default" w:ascii="Times New Roman" w:hAnsi="Times New Roman" w:eastAsia="方正仿宋_GBK" w:cs="Times New Roman"/>
                <w:i w:val="0"/>
                <w:iCs w:val="0"/>
                <w:color w:val="auto"/>
                <w:sz w:val="21"/>
                <w:szCs w:val="21"/>
                <w:u w:val="none"/>
              </w:rPr>
            </w:pPr>
          </w:p>
        </w:tc>
      </w:tr>
      <w:tr w14:paraId="21126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continue"/>
            <w:noWrap w:val="0"/>
            <w:vAlign w:val="center"/>
          </w:tcPr>
          <w:p w14:paraId="151A56F3">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2DE34751">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4.定期召开业主委员会或物业管理委员会会议，及时组织召集业主共同决策小区重要公共事务，并报告社区党组织和居民委员会</w:t>
            </w:r>
          </w:p>
        </w:tc>
        <w:tc>
          <w:tcPr>
            <w:tcW w:w="759" w:type="dxa"/>
            <w:noWrap/>
            <w:vAlign w:val="center"/>
          </w:tcPr>
          <w:p w14:paraId="46B04086">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5</w:t>
            </w:r>
          </w:p>
        </w:tc>
        <w:tc>
          <w:tcPr>
            <w:tcW w:w="4800" w:type="dxa"/>
            <w:noWrap w:val="0"/>
            <w:vAlign w:val="center"/>
          </w:tcPr>
          <w:p w14:paraId="027728A5">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业主委员会（物业管理委员会）在任期时间内正常履责的得1分，不在任期时间内的不得分；（2）业主委员会委员正常履职的得1分，委员出现空缺超过半年的，不得分；（3）业主委员会组织架构健全，人员分工明确的得1分，组织架构不健全或人员分工不明确不得分；（4）业主委员会按照业主大会议事规则的规定定期召开业主委员会会议的得1分，未按照规定定期召开会议的不得分；（5）业主委员会召开业主委员会定期会议或临时会议，共同决策小区重要公共事务，并报告社区党组织和居民委员会的得1分。</w:t>
            </w:r>
          </w:p>
        </w:tc>
        <w:tc>
          <w:tcPr>
            <w:tcW w:w="672" w:type="dxa"/>
            <w:noWrap/>
            <w:vAlign w:val="center"/>
          </w:tcPr>
          <w:p w14:paraId="746A5464">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3770BEDB">
            <w:pPr>
              <w:spacing w:line="300" w:lineRule="exact"/>
              <w:rPr>
                <w:rFonts w:hint="default" w:ascii="Times New Roman" w:hAnsi="Times New Roman" w:eastAsia="方正仿宋_GBK" w:cs="Times New Roman"/>
                <w:i w:val="0"/>
                <w:iCs w:val="0"/>
                <w:color w:val="auto"/>
                <w:sz w:val="21"/>
                <w:szCs w:val="21"/>
                <w:u w:val="none"/>
              </w:rPr>
            </w:pPr>
          </w:p>
        </w:tc>
      </w:tr>
      <w:tr w14:paraId="165A8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restart"/>
            <w:noWrap w:val="0"/>
            <w:vAlign w:val="center"/>
          </w:tcPr>
          <w:p w14:paraId="3CA66C63">
            <w:pPr>
              <w:keepNext w:val="0"/>
              <w:keepLines w:val="0"/>
              <w:widowControl/>
              <w:suppressLineNumbers w:val="0"/>
              <w:spacing w:line="300" w:lineRule="exact"/>
              <w:jc w:val="left"/>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三、物业管理服务规范高效（40分）</w:t>
            </w:r>
          </w:p>
        </w:tc>
        <w:tc>
          <w:tcPr>
            <w:tcW w:w="2199" w:type="dxa"/>
            <w:noWrap w:val="0"/>
            <w:vAlign w:val="center"/>
          </w:tcPr>
          <w:p w14:paraId="1609DC1B">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1.物业服务企业信用状况位于全市前5%</w:t>
            </w:r>
          </w:p>
        </w:tc>
        <w:tc>
          <w:tcPr>
            <w:tcW w:w="759" w:type="dxa"/>
            <w:noWrap/>
            <w:vAlign w:val="center"/>
          </w:tcPr>
          <w:p w14:paraId="09F4A6AF">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5</w:t>
            </w:r>
          </w:p>
        </w:tc>
        <w:tc>
          <w:tcPr>
            <w:tcW w:w="4800" w:type="dxa"/>
            <w:noWrap w:val="0"/>
            <w:vAlign w:val="center"/>
          </w:tcPr>
          <w:p w14:paraId="779A61C2">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（1）物业服务企业信用状况位于全市前5%的得3分；（2）物业服务企业202</w:t>
            </w:r>
            <w:r>
              <w:rPr>
                <w:rFonts w:hint="eastAsia" w:eastAsia="方正仿宋_GBK" w:cs="Times New Roman"/>
                <w:i w:val="0"/>
                <w:iCs w:val="0"/>
                <w:color w:val="auto"/>
                <w:kern w:val="0"/>
                <w:sz w:val="21"/>
                <w:szCs w:val="21"/>
                <w:u w:val="none"/>
                <w:lang w:val="en-US" w:eastAsia="zh-CN" w:bidi="ar"/>
              </w:rPr>
              <w:t>4</w:t>
            </w:r>
            <w:r>
              <w:rPr>
                <w:rFonts w:hint="default" w:ascii="Times New Roman" w:hAnsi="Times New Roman" w:eastAsia="方正仿宋_GBK" w:cs="Times New Roman"/>
                <w:i w:val="0"/>
                <w:iCs w:val="0"/>
                <w:color w:val="auto"/>
                <w:kern w:val="0"/>
                <w:sz w:val="21"/>
                <w:szCs w:val="21"/>
                <w:u w:val="none"/>
                <w:lang w:val="en-US" w:eastAsia="zh-CN" w:bidi="ar"/>
              </w:rPr>
              <w:t>年1月1日至今，无行政处罚记录的得1分，有相关行政处罚记录的不得分；（3）把党建工作写入公司章程的得1分，未写入不得分。</w:t>
            </w:r>
          </w:p>
        </w:tc>
        <w:tc>
          <w:tcPr>
            <w:tcW w:w="672" w:type="dxa"/>
            <w:noWrap/>
            <w:vAlign w:val="center"/>
          </w:tcPr>
          <w:p w14:paraId="14FE43EC">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3D99DDBC">
            <w:pPr>
              <w:spacing w:line="300" w:lineRule="exact"/>
              <w:rPr>
                <w:rFonts w:hint="default" w:ascii="Times New Roman" w:hAnsi="Times New Roman" w:eastAsia="方正仿宋_GBK" w:cs="Times New Roman"/>
                <w:i w:val="0"/>
                <w:iCs w:val="0"/>
                <w:color w:val="auto"/>
                <w:sz w:val="21"/>
                <w:szCs w:val="21"/>
                <w:u w:val="none"/>
              </w:rPr>
            </w:pPr>
          </w:p>
        </w:tc>
      </w:tr>
      <w:tr w14:paraId="1B574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continue"/>
            <w:noWrap w:val="0"/>
            <w:vAlign w:val="center"/>
          </w:tcPr>
          <w:p w14:paraId="28A6597D">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55ED6CF5">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2.小区业主满意度位于全市前5%（或小区物业管理投诉位于全市后5%）</w:t>
            </w:r>
          </w:p>
        </w:tc>
        <w:tc>
          <w:tcPr>
            <w:tcW w:w="759" w:type="dxa"/>
            <w:noWrap/>
            <w:vAlign w:val="center"/>
          </w:tcPr>
          <w:p w14:paraId="5A6EA892">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5</w:t>
            </w:r>
          </w:p>
        </w:tc>
        <w:tc>
          <w:tcPr>
            <w:tcW w:w="4800" w:type="dxa"/>
            <w:noWrap w:val="0"/>
            <w:vAlign w:val="center"/>
          </w:tcPr>
          <w:p w14:paraId="6E78AA97">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小区业主满意度位于全市前5%或小区物业管理投诉位于全市后5%的得3分；（2）建立健全定期向住户发放物业管理服务工作征求意见单，对合理的建议及时整改，建立24小时值班制度，设立服务电话，接受业主和使用人对物业管理服务报修、求助、建议、问询、质疑、投诉等各类信息的收集和反馈，并及时处理，有回访制度和记录等小区满意度调查工作机制与相关台账的得1分，每缺一项扣0.5分，扣完为止；（3）建立健全并落实便民维修服务承诺制，零修急修及时率100%.返修率不高于1%，并有回访记录等小区投诉处理工作机制与相关台账的得1分，每缺一项扣0.5分，扣完为止；（4）小区条件未达到（1）要求的，（2）（3）项不得分。</w:t>
            </w:r>
          </w:p>
        </w:tc>
        <w:tc>
          <w:tcPr>
            <w:tcW w:w="672" w:type="dxa"/>
            <w:noWrap/>
            <w:vAlign w:val="center"/>
          </w:tcPr>
          <w:p w14:paraId="7B85158C">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05470EAC">
            <w:pPr>
              <w:spacing w:line="300" w:lineRule="exact"/>
              <w:rPr>
                <w:rFonts w:hint="default" w:ascii="Times New Roman" w:hAnsi="Times New Roman" w:eastAsia="方正仿宋_GBK" w:cs="Times New Roman"/>
                <w:b/>
                <w:bCs/>
                <w:i w:val="0"/>
                <w:iCs w:val="0"/>
                <w:color w:val="auto"/>
                <w:sz w:val="21"/>
                <w:szCs w:val="21"/>
                <w:u w:val="none"/>
              </w:rPr>
            </w:pPr>
          </w:p>
        </w:tc>
      </w:tr>
      <w:tr w14:paraId="58D28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1" w:type="dxa"/>
            <w:vMerge w:val="continue"/>
            <w:noWrap w:val="0"/>
            <w:vAlign w:val="center"/>
          </w:tcPr>
          <w:p w14:paraId="10DB056B">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268E8A99">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kern w:val="0"/>
                <w:sz w:val="21"/>
                <w:szCs w:val="21"/>
                <w:highlight w:val="none"/>
                <w:u w:val="none"/>
                <w:lang w:val="en-US" w:eastAsia="zh-CN" w:bidi="ar"/>
              </w:rPr>
              <w:t>3.小区居民根据消费意愿，支付能力等选择适合的物业服务标准，物业服务企业按照标准提供好的物业服务，物业费收费率≥95%</w:t>
            </w:r>
          </w:p>
        </w:tc>
        <w:tc>
          <w:tcPr>
            <w:tcW w:w="759" w:type="dxa"/>
            <w:noWrap/>
            <w:vAlign w:val="center"/>
          </w:tcPr>
          <w:p w14:paraId="1E97612F">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highlight w:val="none"/>
                <w:u w:val="none"/>
              </w:rPr>
            </w:pPr>
            <w:r>
              <w:rPr>
                <w:rFonts w:hint="eastAsia" w:eastAsia="方正仿宋_GBK" w:cs="Times New Roman"/>
                <w:i w:val="0"/>
                <w:iCs w:val="0"/>
                <w:color w:val="auto"/>
                <w:kern w:val="0"/>
                <w:sz w:val="21"/>
                <w:szCs w:val="21"/>
                <w:highlight w:val="none"/>
                <w:u w:val="none"/>
                <w:lang w:val="en-US" w:eastAsia="zh-CN" w:bidi="ar"/>
              </w:rPr>
              <w:t>4</w:t>
            </w:r>
          </w:p>
        </w:tc>
        <w:tc>
          <w:tcPr>
            <w:tcW w:w="4800" w:type="dxa"/>
            <w:noWrap w:val="0"/>
            <w:vAlign w:val="center"/>
          </w:tcPr>
          <w:p w14:paraId="18857FA4">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kern w:val="0"/>
                <w:sz w:val="21"/>
                <w:szCs w:val="21"/>
                <w:highlight w:val="none"/>
                <w:u w:val="none"/>
                <w:lang w:val="en-US" w:eastAsia="zh-CN" w:bidi="ar"/>
              </w:rPr>
              <w:t>（1）小区物业费收费率≥95%的得</w:t>
            </w:r>
            <w:r>
              <w:rPr>
                <w:rFonts w:hint="eastAsia" w:eastAsia="方正仿宋_GBK" w:cs="Times New Roman"/>
                <w:i w:val="0"/>
                <w:iCs w:val="0"/>
                <w:color w:val="auto"/>
                <w:kern w:val="0"/>
                <w:sz w:val="21"/>
                <w:szCs w:val="21"/>
                <w:highlight w:val="none"/>
                <w:u w:val="none"/>
                <w:lang w:val="en-US" w:eastAsia="zh-CN" w:bidi="ar"/>
              </w:rPr>
              <w:t>1</w:t>
            </w:r>
            <w:r>
              <w:rPr>
                <w:rFonts w:hint="default" w:ascii="Times New Roman" w:hAnsi="Times New Roman" w:eastAsia="方正仿宋_GBK" w:cs="Times New Roman"/>
                <w:i w:val="0"/>
                <w:iCs w:val="0"/>
                <w:color w:val="auto"/>
                <w:kern w:val="0"/>
                <w:sz w:val="21"/>
                <w:szCs w:val="21"/>
                <w:highlight w:val="none"/>
                <w:u w:val="none"/>
                <w:lang w:val="en-US" w:eastAsia="zh-CN" w:bidi="ar"/>
              </w:rPr>
              <w:t>分；（3）依法建立住宅专项维修资金，其管理、使用、续筹符合有关规定的得1分，缺一项扣0.2分，扣完为止。（4）小区居民根据消费意愿，支付能力等，依据《广西普通住宅小区前期物业服务等级指导 标准（试行）》选择适合的物业服务标准的，得1分；（5）物业服务企业按照标准提供好的物业服务的，得1分。</w:t>
            </w:r>
          </w:p>
        </w:tc>
        <w:tc>
          <w:tcPr>
            <w:tcW w:w="672" w:type="dxa"/>
            <w:noWrap/>
            <w:vAlign w:val="center"/>
          </w:tcPr>
          <w:p w14:paraId="7647AEED">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766D6088">
            <w:pPr>
              <w:spacing w:line="300" w:lineRule="exact"/>
              <w:rPr>
                <w:rFonts w:hint="default" w:ascii="Times New Roman" w:hAnsi="Times New Roman" w:eastAsia="方正仿宋_GBK" w:cs="Times New Roman"/>
                <w:i w:val="0"/>
                <w:iCs w:val="0"/>
                <w:color w:val="auto"/>
                <w:sz w:val="21"/>
                <w:szCs w:val="21"/>
                <w:u w:val="none"/>
              </w:rPr>
            </w:pPr>
          </w:p>
        </w:tc>
      </w:tr>
      <w:tr w14:paraId="362DB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0" w:hRule="atLeast"/>
          <w:jc w:val="center"/>
        </w:trPr>
        <w:tc>
          <w:tcPr>
            <w:tcW w:w="641" w:type="dxa"/>
            <w:vMerge w:val="continue"/>
            <w:noWrap w:val="0"/>
            <w:vAlign w:val="center"/>
          </w:tcPr>
          <w:p w14:paraId="245152C2">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124A2C9E">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4.小区物业服务水平明显提升</w:t>
            </w:r>
          </w:p>
        </w:tc>
        <w:tc>
          <w:tcPr>
            <w:tcW w:w="759" w:type="dxa"/>
            <w:noWrap/>
            <w:vAlign w:val="center"/>
          </w:tcPr>
          <w:p w14:paraId="2C06E6D7">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1</w:t>
            </w:r>
          </w:p>
        </w:tc>
        <w:tc>
          <w:tcPr>
            <w:tcW w:w="4800" w:type="dxa"/>
            <w:noWrap w:val="0"/>
            <w:vAlign w:val="center"/>
          </w:tcPr>
          <w:p w14:paraId="1ACAF588">
            <w:pPr>
              <w:keepNext w:val="0"/>
              <w:keepLines w:val="0"/>
              <w:widowControl/>
              <w:suppressLineNumbers w:val="0"/>
              <w:spacing w:after="220" w:afterAutospacing="0" w:line="300" w:lineRule="exact"/>
              <w:jc w:val="both"/>
              <w:textAlignment w:val="center"/>
              <w:rPr>
                <w:rFonts w:hint="default" w:ascii="Times New Roman" w:hAnsi="Times New Roman" w:eastAsia="方正仿宋_GBK" w:cs="Times New Roman"/>
                <w:i w:val="0"/>
                <w:iCs w:val="0"/>
                <w:color w:val="auto"/>
                <w:kern w:val="0"/>
                <w:sz w:val="21"/>
                <w:szCs w:val="21"/>
                <w:highlight w:val="none"/>
                <w:u w:val="none"/>
                <w:lang w:val="en-US" w:eastAsia="zh-CN" w:bidi="ar"/>
              </w:rPr>
            </w:pPr>
            <w:r>
              <w:rPr>
                <w:rFonts w:hint="default" w:ascii="Times New Roman" w:hAnsi="Times New Roman" w:eastAsia="方正仿宋_GBK" w:cs="Times New Roman"/>
                <w:i w:val="0"/>
                <w:iCs w:val="0"/>
                <w:color w:val="auto"/>
                <w:kern w:val="0"/>
                <w:sz w:val="21"/>
                <w:szCs w:val="21"/>
                <w:highlight w:val="none"/>
                <w:u w:val="none"/>
                <w:lang w:val="en-US" w:eastAsia="zh-CN" w:bidi="ar"/>
              </w:rPr>
              <w:t>有“物业服务+生活服务”相关平台与设施设备的得1分，没有平台与设施设备不得分</w:t>
            </w:r>
          </w:p>
        </w:tc>
        <w:tc>
          <w:tcPr>
            <w:tcW w:w="672" w:type="dxa"/>
            <w:noWrap/>
            <w:vAlign w:val="center"/>
          </w:tcPr>
          <w:p w14:paraId="65AD71E1">
            <w:pPr>
              <w:spacing w:line="300" w:lineRule="exact"/>
              <w:rPr>
                <w:rFonts w:hint="default" w:ascii="Times New Roman" w:hAnsi="Times New Roman" w:eastAsia="方正仿宋_GBK" w:cs="Times New Roman"/>
                <w:i w:val="0"/>
                <w:iCs w:val="0"/>
                <w:color w:val="auto"/>
                <w:sz w:val="21"/>
                <w:szCs w:val="21"/>
                <w:highlight w:val="none"/>
                <w:u w:val="none"/>
              </w:rPr>
            </w:pPr>
          </w:p>
        </w:tc>
        <w:tc>
          <w:tcPr>
            <w:tcW w:w="480" w:type="dxa"/>
            <w:noWrap w:val="0"/>
            <w:vAlign w:val="center"/>
          </w:tcPr>
          <w:p w14:paraId="7CAFADF2">
            <w:pPr>
              <w:spacing w:line="300" w:lineRule="exact"/>
              <w:rPr>
                <w:rFonts w:hint="default" w:ascii="Times New Roman" w:hAnsi="Times New Roman" w:eastAsia="方正仿宋_GBK" w:cs="Times New Roman"/>
                <w:i w:val="0"/>
                <w:iCs w:val="0"/>
                <w:color w:val="auto"/>
                <w:sz w:val="21"/>
                <w:szCs w:val="21"/>
                <w:highlight w:val="none"/>
                <w:u w:val="none"/>
              </w:rPr>
            </w:pPr>
          </w:p>
        </w:tc>
      </w:tr>
      <w:tr w14:paraId="62DA5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5" w:hRule="atLeast"/>
          <w:jc w:val="center"/>
        </w:trPr>
        <w:tc>
          <w:tcPr>
            <w:tcW w:w="641" w:type="dxa"/>
            <w:vMerge w:val="continue"/>
            <w:noWrap w:val="0"/>
            <w:vAlign w:val="center"/>
          </w:tcPr>
          <w:p w14:paraId="1C0DCE64">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5198EC0F">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highlight w:val="none"/>
                <w:u w:val="none"/>
              </w:rPr>
            </w:pPr>
            <w:r>
              <w:rPr>
                <w:rFonts w:hint="eastAsia" w:eastAsia="方正仿宋_GBK" w:cs="Times New Roman"/>
                <w:i w:val="0"/>
                <w:iCs w:val="0"/>
                <w:color w:val="auto"/>
                <w:kern w:val="0"/>
                <w:sz w:val="21"/>
                <w:szCs w:val="21"/>
                <w:highlight w:val="none"/>
                <w:u w:val="none"/>
                <w:lang w:val="en-US" w:eastAsia="zh-CN" w:bidi="ar"/>
              </w:rPr>
              <w:t>5</w:t>
            </w:r>
            <w:r>
              <w:rPr>
                <w:rFonts w:hint="default" w:ascii="Times New Roman" w:hAnsi="Times New Roman" w:eastAsia="方正仿宋_GBK" w:cs="Times New Roman"/>
                <w:i w:val="0"/>
                <w:iCs w:val="0"/>
                <w:color w:val="auto"/>
                <w:kern w:val="0"/>
                <w:sz w:val="21"/>
                <w:szCs w:val="21"/>
                <w:highlight w:val="none"/>
                <w:u w:val="none"/>
                <w:lang w:val="en-US" w:eastAsia="zh-CN" w:bidi="ar"/>
              </w:rPr>
              <w:t>.小区物业服务信息公开规范和收费信息公开规范</w:t>
            </w:r>
          </w:p>
        </w:tc>
        <w:tc>
          <w:tcPr>
            <w:tcW w:w="759" w:type="dxa"/>
            <w:noWrap/>
            <w:vAlign w:val="center"/>
          </w:tcPr>
          <w:p w14:paraId="155F1EB0">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kern w:val="0"/>
                <w:sz w:val="21"/>
                <w:szCs w:val="21"/>
                <w:highlight w:val="none"/>
                <w:u w:val="none"/>
                <w:lang w:val="en-US" w:eastAsia="zh-CN" w:bidi="ar"/>
              </w:rPr>
              <w:t>4</w:t>
            </w:r>
          </w:p>
        </w:tc>
        <w:tc>
          <w:tcPr>
            <w:tcW w:w="4800" w:type="dxa"/>
            <w:noWrap w:val="0"/>
            <w:vAlign w:val="center"/>
          </w:tcPr>
          <w:p w14:paraId="27461446">
            <w:pPr>
              <w:keepNext w:val="0"/>
              <w:keepLines w:val="0"/>
              <w:widowControl/>
              <w:suppressLineNumbers w:val="0"/>
              <w:spacing w:after="220" w:afterAutospacing="0" w:line="300" w:lineRule="exact"/>
              <w:jc w:val="both"/>
              <w:textAlignment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kern w:val="0"/>
                <w:sz w:val="21"/>
                <w:szCs w:val="21"/>
                <w:highlight w:val="none"/>
                <w:u w:val="none"/>
                <w:lang w:val="en-US" w:eastAsia="zh-CN" w:bidi="ar"/>
              </w:rPr>
              <w:t>（1）在物业管理区域内显著位置持续公示：①物业服务企业的营业执照、信用信息和服务咨询投诉电话，项目负责人的基本情况和联系方式的得0.5分，缺一项扣0.1分，扣完为止，有一项未更新扣0.1分，扣完为止；②物业服务内容、服务质量标准，收费项目、收费标准、收费方式等的得0.5分，缺一项扣0.1分，扣完为止，有一项未更新扣0.1分，扣完为止；③物业承接查验情况和物业承接查验协议的得0.5分，缺一项扣0.1分，扣完为止，有一项未更新扣0.1分，扣完为止；④电梯、消防、二次供水等专项设施设备的日常维修保养单位的名称、资质、联系方式和应急处置方案等的得0.3分，缺一项扣0.1分，扣完为止，有一项未更新扣0.1分，扣完为止；⑤业主、物业使用人进行房屋装饰装修活动情况的得0.2分，缺一项扣0.1分，扣完为止，有一项未更新扣0.05分，扣完为止；（2）在物业管理区域内显著位置至少每半年公布一次，公示期不少于三十日：①物业专项维修资金使用情况，包括涉及维修、更新、改造项目的明细的得0.4分，缺一项扣0.1分，扣完为止；②水、电等公共能耗总量、明细及费用分摊情况的得0.3分，缺一项扣0.1分，扣完为止；③物业管理区域公共收益收支情况，包括与公共收益相关的合同或者协议等的得0.3分，缺一项扣0.1分，扣完为止，有业主委员会（物业管理委员会）的该项不得分；（3）（1）－（2）项所公示内容同时通过其他便捷方式告知全体业主的得1分，缺一项扣0.2分，扣完为止。</w:t>
            </w:r>
          </w:p>
        </w:tc>
        <w:tc>
          <w:tcPr>
            <w:tcW w:w="672" w:type="dxa"/>
            <w:noWrap/>
            <w:vAlign w:val="center"/>
          </w:tcPr>
          <w:p w14:paraId="40D14017">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65F2C423">
            <w:pPr>
              <w:spacing w:line="300" w:lineRule="exact"/>
              <w:rPr>
                <w:rFonts w:hint="default" w:ascii="Times New Roman" w:hAnsi="Times New Roman" w:eastAsia="方正仿宋_GBK" w:cs="Times New Roman"/>
                <w:i w:val="0"/>
                <w:iCs w:val="0"/>
                <w:color w:val="auto"/>
                <w:sz w:val="21"/>
                <w:szCs w:val="21"/>
                <w:u w:val="none"/>
              </w:rPr>
            </w:pPr>
          </w:p>
        </w:tc>
      </w:tr>
      <w:tr w14:paraId="0EDC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continue"/>
            <w:noWrap w:val="0"/>
            <w:vAlign w:val="center"/>
          </w:tcPr>
          <w:p w14:paraId="69FD8F5F">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3C52208F">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eastAsia" w:eastAsia="方正仿宋_GBK" w:cs="Times New Roman"/>
                <w:i w:val="0"/>
                <w:iCs w:val="0"/>
                <w:color w:val="auto"/>
                <w:kern w:val="0"/>
                <w:sz w:val="21"/>
                <w:szCs w:val="21"/>
                <w:u w:val="none"/>
                <w:lang w:val="en-US" w:eastAsia="zh-CN" w:bidi="ar"/>
              </w:rPr>
              <w:t>6</w:t>
            </w:r>
            <w:r>
              <w:rPr>
                <w:rFonts w:hint="default" w:ascii="Times New Roman" w:hAnsi="Times New Roman" w:eastAsia="方正仿宋_GBK" w:cs="Times New Roman"/>
                <w:i w:val="0"/>
                <w:iCs w:val="0"/>
                <w:color w:val="auto"/>
                <w:kern w:val="0"/>
                <w:sz w:val="21"/>
                <w:szCs w:val="21"/>
                <w:u w:val="none"/>
                <w:lang w:val="en-US" w:eastAsia="zh-CN" w:bidi="ar"/>
              </w:rPr>
              <w:t>.小区环境卫生良好</w:t>
            </w:r>
          </w:p>
        </w:tc>
        <w:tc>
          <w:tcPr>
            <w:tcW w:w="759" w:type="dxa"/>
            <w:noWrap/>
            <w:vAlign w:val="center"/>
          </w:tcPr>
          <w:p w14:paraId="24E0793B">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w:t>
            </w:r>
          </w:p>
        </w:tc>
        <w:tc>
          <w:tcPr>
            <w:tcW w:w="4800" w:type="dxa"/>
            <w:noWrap w:val="0"/>
            <w:vAlign w:val="center"/>
          </w:tcPr>
          <w:p w14:paraId="2426DC9B">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清洁卫生实行责任制，有专职的清洁人员和明确的责任范围，实行标准化保洁的得1分，缺一项扣0.2分，扣完为止；（2）垃圾日产日清，无垃圾桶满溢现象，定期进行卫生消毒灭杀的得1分，缺一项扣0.2分，扣完为止；（3）房屋共用部位共用设施设备无蚁害，建立消杀工作管理制度，根据实际情况开展消杀工作，适时投放消杀药物，有效控制鼠、蟑、蚊、蝇等害虫的得1分，缺一项扣0.2分，扣完为止；（4）小区内道路等共用场地无纸屑、烟头等废弃物的得0.5分，缺一项扣0.1分，扣完为止；（5）房屋共用部位保持清洁，无乱贴、乱画，无擅自占用和堆放杂物现象；楼梯扶栏、天台、公共玻璃窗等保持整洁的得0.5分，缺一项扣0.1分，扣完为止。</w:t>
            </w:r>
          </w:p>
        </w:tc>
        <w:tc>
          <w:tcPr>
            <w:tcW w:w="672" w:type="dxa"/>
            <w:noWrap/>
            <w:vAlign w:val="center"/>
          </w:tcPr>
          <w:p w14:paraId="7FE072BC">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7A928EF9">
            <w:pPr>
              <w:spacing w:line="300" w:lineRule="exact"/>
              <w:rPr>
                <w:rFonts w:hint="default" w:ascii="Times New Roman" w:hAnsi="Times New Roman" w:eastAsia="方正仿宋_GBK" w:cs="Times New Roman"/>
                <w:i w:val="0"/>
                <w:iCs w:val="0"/>
                <w:color w:val="auto"/>
                <w:sz w:val="21"/>
                <w:szCs w:val="21"/>
                <w:u w:val="none"/>
              </w:rPr>
            </w:pPr>
          </w:p>
        </w:tc>
      </w:tr>
      <w:tr w14:paraId="0E051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641" w:type="dxa"/>
            <w:vMerge w:val="continue"/>
            <w:noWrap w:val="0"/>
            <w:vAlign w:val="center"/>
          </w:tcPr>
          <w:p w14:paraId="20D20DF4">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7A4C53BE">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eastAsia" w:eastAsia="方正仿宋_GBK" w:cs="Times New Roman"/>
                <w:i w:val="0"/>
                <w:iCs w:val="0"/>
                <w:color w:val="auto"/>
                <w:kern w:val="0"/>
                <w:sz w:val="21"/>
                <w:szCs w:val="21"/>
                <w:u w:val="none"/>
                <w:lang w:val="en-US" w:eastAsia="zh-CN" w:bidi="ar"/>
              </w:rPr>
              <w:t>7</w:t>
            </w:r>
            <w:r>
              <w:rPr>
                <w:rFonts w:hint="default" w:ascii="Times New Roman" w:hAnsi="Times New Roman" w:eastAsia="方正仿宋_GBK" w:cs="Times New Roman"/>
                <w:i w:val="0"/>
                <w:iCs w:val="0"/>
                <w:color w:val="auto"/>
                <w:kern w:val="0"/>
                <w:sz w:val="21"/>
                <w:szCs w:val="21"/>
                <w:u w:val="none"/>
                <w:lang w:val="en-US" w:eastAsia="zh-CN" w:bidi="ar"/>
              </w:rPr>
              <w:t>.小区绿化养护良好</w:t>
            </w:r>
          </w:p>
        </w:tc>
        <w:tc>
          <w:tcPr>
            <w:tcW w:w="759" w:type="dxa"/>
            <w:noWrap/>
            <w:vAlign w:val="center"/>
          </w:tcPr>
          <w:p w14:paraId="5852AEFB">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w:t>
            </w:r>
          </w:p>
        </w:tc>
        <w:tc>
          <w:tcPr>
            <w:tcW w:w="4800" w:type="dxa"/>
            <w:noWrap w:val="0"/>
            <w:vAlign w:val="center"/>
          </w:tcPr>
          <w:p w14:paraId="5489F6BE">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小区内绿地布局合理，花草树木与建筑小品配置得当的得0.5分，缺一项扣0.1分，扣完为止；（2）绿地无改变使用用途和破坏、践踏、占用现象的得0.5分，缺一项扣0.1分，扣完为止；（3）花草树木长势良好，修剪整齐美观，无病虫害，无折损现象，无斑秃，园林建筑和辅助设施完好，整洁无损的得0.5分，缺一项扣0.1分，扣完为止；（4）绿地无纸屑、烟头、石块等杂物；乔灌树木无悬挂杂物及晾晒物品的得0.5分，缺一项扣0.1分，扣完为止。</w:t>
            </w:r>
          </w:p>
        </w:tc>
        <w:tc>
          <w:tcPr>
            <w:tcW w:w="672" w:type="dxa"/>
            <w:noWrap/>
            <w:vAlign w:val="center"/>
          </w:tcPr>
          <w:p w14:paraId="4DA693D9">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5D821123">
            <w:pPr>
              <w:spacing w:line="300" w:lineRule="exact"/>
              <w:rPr>
                <w:rFonts w:hint="default" w:ascii="Times New Roman" w:hAnsi="Times New Roman" w:eastAsia="方正仿宋_GBK" w:cs="Times New Roman"/>
                <w:i w:val="0"/>
                <w:iCs w:val="0"/>
                <w:color w:val="auto"/>
                <w:sz w:val="21"/>
                <w:szCs w:val="21"/>
                <w:u w:val="none"/>
              </w:rPr>
            </w:pPr>
          </w:p>
        </w:tc>
      </w:tr>
      <w:tr w14:paraId="438C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5" w:hRule="atLeast"/>
          <w:jc w:val="center"/>
        </w:trPr>
        <w:tc>
          <w:tcPr>
            <w:tcW w:w="641" w:type="dxa"/>
            <w:vMerge w:val="continue"/>
            <w:noWrap w:val="0"/>
            <w:vAlign w:val="center"/>
          </w:tcPr>
          <w:p w14:paraId="53451ED5">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1B2F8E85">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eastAsia" w:eastAsia="方正仿宋_GBK" w:cs="Times New Roman"/>
                <w:i w:val="0"/>
                <w:iCs w:val="0"/>
                <w:color w:val="auto"/>
                <w:kern w:val="0"/>
                <w:sz w:val="21"/>
                <w:szCs w:val="21"/>
                <w:u w:val="none"/>
                <w:lang w:val="en-US" w:eastAsia="zh-CN" w:bidi="ar"/>
              </w:rPr>
              <w:t>8</w:t>
            </w:r>
            <w:r>
              <w:rPr>
                <w:rFonts w:hint="default" w:ascii="Times New Roman" w:hAnsi="Times New Roman" w:eastAsia="方正仿宋_GBK" w:cs="Times New Roman"/>
                <w:i w:val="0"/>
                <w:iCs w:val="0"/>
                <w:color w:val="auto"/>
                <w:kern w:val="0"/>
                <w:sz w:val="21"/>
                <w:szCs w:val="21"/>
                <w:u w:val="none"/>
                <w:lang w:val="en-US" w:eastAsia="zh-CN" w:bidi="ar"/>
              </w:rPr>
              <w:t>.小区共有设施设备维护良好</w:t>
            </w:r>
          </w:p>
        </w:tc>
        <w:tc>
          <w:tcPr>
            <w:tcW w:w="759" w:type="dxa"/>
            <w:noWrap/>
            <w:vAlign w:val="center"/>
          </w:tcPr>
          <w:p w14:paraId="15FDE94E">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w:t>
            </w:r>
          </w:p>
        </w:tc>
        <w:tc>
          <w:tcPr>
            <w:tcW w:w="4800" w:type="dxa"/>
            <w:noWrap w:val="0"/>
            <w:vAlign w:val="center"/>
          </w:tcPr>
          <w:p w14:paraId="172DFC9D">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共用配套设施完好，无随意改变用途的得0.4分；（2）共用设施设备按照项目配套建设管理责任分工运行正常，维护良好，有设备台账、运行记录、检查记录、维修记录、保养记录；建立出现故障后的应急处理方案，无事故隐患，专业技术人员和维护人员严格遵守操作规程与保养规范的得0.8分，缺一项扣0.1分，扣完为止；（3）室外共用管线统一入地或入公共管道，无架空管线，无碍观瞻的得0.4分，缺一项扣0.1分，扣完为止；（4）排水.排污管道通畅，无堵塞外溢现象的得0.4分，缺一项扣0.1分，扣完为止；（5）道路通畅，路面平整；井盖无缺损、无丢失，路面井盖不影响车辆和行人通行的得0.4分，缺一项扣0.1分，扣完为止；（6）供水设备运行正常，设施完好、无渗漏、无污染；二次生活用水有严格的保障措施，水质符合卫生标准；制定有停水及事故处理方案的得0.4分，缺一项扣0.1分，扣完为止；（7）制定供电系统管理措施并严格执行，记录完整；供电设备运行正常，配电室管理符合规定，路灯、楼道灯等公共照明设备完好的得0.4分，缺一项扣0.1分，扣完为止；（8）电梯按规定或约定时间运行，安全设施齐全，无安全事故；轿厢、井道保持清洁；电梯机房通风、照明良好；制定出现故障后的应急处理方案的得0.4分，缺一项扣0.1分，扣完为止；（9）函水井、化粪井每月检查一次，无堵塞外溢的得0.4分，缺一项扣0.1分，扣完为止。</w:t>
            </w:r>
          </w:p>
        </w:tc>
        <w:tc>
          <w:tcPr>
            <w:tcW w:w="672" w:type="dxa"/>
            <w:noWrap/>
            <w:vAlign w:val="center"/>
          </w:tcPr>
          <w:p w14:paraId="4F88DBC5">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63B32E5B">
            <w:pPr>
              <w:spacing w:line="300" w:lineRule="exact"/>
              <w:rPr>
                <w:rFonts w:hint="default" w:ascii="Times New Roman" w:hAnsi="Times New Roman" w:eastAsia="方正仿宋_GBK" w:cs="Times New Roman"/>
                <w:i w:val="0"/>
                <w:iCs w:val="0"/>
                <w:color w:val="auto"/>
                <w:sz w:val="21"/>
                <w:szCs w:val="21"/>
                <w:u w:val="none"/>
              </w:rPr>
            </w:pPr>
          </w:p>
        </w:tc>
      </w:tr>
      <w:tr w14:paraId="1AE81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0" w:hRule="atLeast"/>
          <w:jc w:val="center"/>
        </w:trPr>
        <w:tc>
          <w:tcPr>
            <w:tcW w:w="641" w:type="dxa"/>
            <w:vMerge w:val="continue"/>
            <w:noWrap w:val="0"/>
            <w:vAlign w:val="center"/>
          </w:tcPr>
          <w:p w14:paraId="1648910E">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4EEA4B75">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9.建成骑手友好社区</w:t>
            </w:r>
          </w:p>
        </w:tc>
        <w:tc>
          <w:tcPr>
            <w:tcW w:w="759" w:type="dxa"/>
            <w:noWrap/>
            <w:vAlign w:val="center"/>
          </w:tcPr>
          <w:p w14:paraId="6895365F">
            <w:pPr>
              <w:keepNext w:val="0"/>
              <w:keepLines w:val="0"/>
              <w:widowControl/>
              <w:suppressLineNumbers w:val="0"/>
              <w:spacing w:line="300" w:lineRule="exact"/>
              <w:jc w:val="center"/>
              <w:textAlignment w:val="center"/>
              <w:rPr>
                <w:rFonts w:hint="default"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2</w:t>
            </w:r>
          </w:p>
        </w:tc>
        <w:tc>
          <w:tcPr>
            <w:tcW w:w="4800" w:type="dxa"/>
            <w:noWrap w:val="0"/>
            <w:vAlign w:val="center"/>
          </w:tcPr>
          <w:p w14:paraId="74818A9D">
            <w:pPr>
              <w:keepNext w:val="0"/>
              <w:keepLines w:val="0"/>
              <w:widowControl/>
              <w:suppressLineNumbers w:val="0"/>
              <w:spacing w:line="300" w:lineRule="exact"/>
              <w:jc w:val="both"/>
              <w:textAlignment w:val="center"/>
              <w:rPr>
                <w:rFonts w:hint="default"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（1）设置爱心驿站，为环卫工人、外卖骑手等提供休息、饮水场所的，得1分。</w:t>
            </w:r>
          </w:p>
          <w:p w14:paraId="4AB7098A">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（2）骑手及配送车辆均可进入，</w:t>
            </w:r>
            <w:r>
              <w:rPr>
                <w:rFonts w:hint="default" w:ascii="Times New Roman" w:hAnsi="Times New Roman" w:eastAsia="方正仿宋_GBK" w:cs="Times New Roman"/>
                <w:i w:val="0"/>
                <w:iCs w:val="0"/>
                <w:color w:val="auto"/>
                <w:kern w:val="0"/>
                <w:sz w:val="21"/>
                <w:szCs w:val="21"/>
                <w:highlight w:val="none"/>
                <w:u w:val="none"/>
                <w:lang w:val="en-US" w:eastAsia="zh-CN" w:bidi="ar"/>
              </w:rPr>
              <w:t>具备引导地图、设置内部禁行区标识、对进小区的外来人员进行提示提醒、有门卫维护秩序等相关举措的</w:t>
            </w:r>
            <w:r>
              <w:rPr>
                <w:rFonts w:hint="eastAsia" w:eastAsia="方正仿宋_GBK" w:cs="Times New Roman"/>
                <w:i w:val="0"/>
                <w:iCs w:val="0"/>
                <w:color w:val="auto"/>
                <w:kern w:val="0"/>
                <w:sz w:val="21"/>
                <w:szCs w:val="21"/>
                <w:highlight w:val="none"/>
                <w:u w:val="none"/>
                <w:lang w:val="en-US" w:eastAsia="zh-CN" w:bidi="ar"/>
              </w:rPr>
              <w:t>，每项得0.5分，累计得分满1分后，不计分。</w:t>
            </w:r>
          </w:p>
          <w:p w14:paraId="6D108109">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（3）允许骑手步行进入但车辆禁入，</w:t>
            </w:r>
            <w:r>
              <w:rPr>
                <w:rFonts w:hint="default" w:ascii="Times New Roman" w:hAnsi="Times New Roman" w:eastAsia="方正仿宋_GBK" w:cs="Times New Roman"/>
                <w:i w:val="0"/>
                <w:iCs w:val="0"/>
                <w:color w:val="auto"/>
                <w:kern w:val="0"/>
                <w:sz w:val="21"/>
                <w:szCs w:val="21"/>
                <w:highlight w:val="none"/>
                <w:u w:val="none"/>
                <w:lang w:val="en-US" w:eastAsia="zh-CN" w:bidi="ar"/>
              </w:rPr>
              <w:t>在小区外划定停车点，因地制宜为快递员、网约配送员配备小推车、自行车等便利设施，</w:t>
            </w:r>
            <w:r>
              <w:rPr>
                <w:rFonts w:hint="eastAsia" w:eastAsia="方正仿宋_GBK" w:cs="Times New Roman"/>
                <w:i w:val="0"/>
                <w:iCs w:val="0"/>
                <w:color w:val="auto"/>
                <w:kern w:val="0"/>
                <w:sz w:val="21"/>
                <w:szCs w:val="21"/>
                <w:highlight w:val="none"/>
                <w:u w:val="none"/>
                <w:lang w:val="en-US" w:eastAsia="zh-CN" w:bidi="ar"/>
              </w:rPr>
              <w:t>每项得0.5分，累计得分满1分后，不计分。</w:t>
            </w:r>
          </w:p>
          <w:p w14:paraId="52686324">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（4）</w:t>
            </w:r>
            <w:r>
              <w:rPr>
                <w:rFonts w:hint="default" w:ascii="Times New Roman" w:hAnsi="Times New Roman" w:eastAsia="方正仿宋_GBK" w:cs="Times New Roman"/>
                <w:i w:val="0"/>
                <w:iCs w:val="0"/>
                <w:color w:val="auto"/>
                <w:kern w:val="0"/>
                <w:sz w:val="21"/>
                <w:szCs w:val="21"/>
                <w:highlight w:val="none"/>
                <w:u w:val="none"/>
                <w:lang w:val="en-US" w:eastAsia="zh-CN" w:bidi="ar"/>
              </w:rPr>
              <w:t xml:space="preserve"> 禁止外来人员及车辆进入</w:t>
            </w:r>
            <w:r>
              <w:rPr>
                <w:rFonts w:hint="eastAsia" w:eastAsia="方正仿宋_GBK" w:cs="Times New Roman"/>
                <w:i w:val="0"/>
                <w:iCs w:val="0"/>
                <w:color w:val="auto"/>
                <w:kern w:val="0"/>
                <w:sz w:val="21"/>
                <w:szCs w:val="21"/>
                <w:highlight w:val="none"/>
                <w:u w:val="none"/>
                <w:lang w:val="en-US" w:eastAsia="zh-CN" w:bidi="ar"/>
              </w:rPr>
              <w:t>，</w:t>
            </w:r>
            <w:r>
              <w:rPr>
                <w:rFonts w:hint="default" w:ascii="Times New Roman" w:hAnsi="Times New Roman" w:eastAsia="方正仿宋_GBK" w:cs="Times New Roman"/>
                <w:i w:val="0"/>
                <w:iCs w:val="0"/>
                <w:color w:val="auto"/>
                <w:kern w:val="0"/>
                <w:sz w:val="21"/>
                <w:szCs w:val="21"/>
                <w:highlight w:val="none"/>
                <w:u w:val="none"/>
                <w:lang w:val="en-US" w:eastAsia="zh-CN" w:bidi="ar"/>
              </w:rPr>
              <w:t>在小区统筹划定专门停车区域或临时驻留点，设置存物架(取餐柜)等快递、网约配送等各类便利设施，</w:t>
            </w:r>
            <w:r>
              <w:rPr>
                <w:rFonts w:hint="eastAsia" w:eastAsia="方正仿宋_GBK" w:cs="Times New Roman"/>
                <w:i w:val="0"/>
                <w:iCs w:val="0"/>
                <w:color w:val="auto"/>
                <w:kern w:val="0"/>
                <w:sz w:val="21"/>
                <w:szCs w:val="21"/>
                <w:highlight w:val="none"/>
                <w:u w:val="none"/>
                <w:lang w:val="en-US" w:eastAsia="zh-CN" w:bidi="ar"/>
              </w:rPr>
              <w:t>每项得0.5分，累计得分满1分后，不计分。</w:t>
            </w:r>
          </w:p>
        </w:tc>
        <w:tc>
          <w:tcPr>
            <w:tcW w:w="672" w:type="dxa"/>
            <w:noWrap/>
            <w:vAlign w:val="center"/>
          </w:tcPr>
          <w:p w14:paraId="197D9631">
            <w:pPr>
              <w:spacing w:line="300" w:lineRule="exact"/>
              <w:rPr>
                <w:rFonts w:hint="default" w:ascii="Times New Roman" w:hAnsi="Times New Roman" w:eastAsia="方正仿宋_GBK" w:cs="Times New Roman"/>
                <w:i w:val="0"/>
                <w:iCs w:val="0"/>
                <w:color w:val="auto"/>
                <w:sz w:val="21"/>
                <w:szCs w:val="21"/>
                <w:highlight w:val="none"/>
                <w:u w:val="none"/>
              </w:rPr>
            </w:pPr>
          </w:p>
        </w:tc>
        <w:tc>
          <w:tcPr>
            <w:tcW w:w="480" w:type="dxa"/>
            <w:noWrap w:val="0"/>
            <w:vAlign w:val="center"/>
          </w:tcPr>
          <w:p w14:paraId="4EC0529C">
            <w:pPr>
              <w:spacing w:line="300" w:lineRule="exact"/>
              <w:rPr>
                <w:rFonts w:hint="default" w:ascii="Times New Roman" w:hAnsi="Times New Roman" w:eastAsia="方正仿宋_GBK" w:cs="Times New Roman"/>
                <w:i w:val="0"/>
                <w:iCs w:val="0"/>
                <w:color w:val="auto"/>
                <w:sz w:val="21"/>
                <w:szCs w:val="21"/>
                <w:highlight w:val="none"/>
                <w:u w:val="none"/>
              </w:rPr>
            </w:pPr>
          </w:p>
        </w:tc>
      </w:tr>
      <w:tr w14:paraId="3AEC5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0" w:hRule="atLeast"/>
          <w:jc w:val="center"/>
        </w:trPr>
        <w:tc>
          <w:tcPr>
            <w:tcW w:w="641" w:type="dxa"/>
            <w:vMerge w:val="continue"/>
            <w:noWrap w:val="0"/>
            <w:vAlign w:val="center"/>
          </w:tcPr>
          <w:p w14:paraId="2180A880">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3F01D211">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highlight w:val="none"/>
                <w:u w:val="none"/>
              </w:rPr>
            </w:pPr>
            <w:r>
              <w:rPr>
                <w:rFonts w:hint="eastAsia" w:eastAsia="方正仿宋_GBK" w:cs="Times New Roman"/>
                <w:i w:val="0"/>
                <w:iCs w:val="0"/>
                <w:color w:val="auto"/>
                <w:kern w:val="0"/>
                <w:sz w:val="21"/>
                <w:szCs w:val="21"/>
                <w:highlight w:val="none"/>
                <w:u w:val="none"/>
                <w:lang w:val="en-US" w:eastAsia="zh-CN" w:bidi="ar"/>
              </w:rPr>
              <w:t>10</w:t>
            </w:r>
            <w:r>
              <w:rPr>
                <w:rFonts w:hint="default" w:ascii="Times New Roman" w:hAnsi="Times New Roman" w:eastAsia="方正仿宋_GBK" w:cs="Times New Roman"/>
                <w:i w:val="0"/>
                <w:iCs w:val="0"/>
                <w:color w:val="auto"/>
                <w:kern w:val="0"/>
                <w:sz w:val="21"/>
                <w:szCs w:val="21"/>
                <w:highlight w:val="none"/>
                <w:u w:val="none"/>
                <w:lang w:val="en-US" w:eastAsia="zh-CN" w:bidi="ar"/>
              </w:rPr>
              <w:t>.开展“物业服务+生活服务”实践，物业服务向养老、托幼、家政、快递收发等居民生活服务领域延伸</w:t>
            </w:r>
          </w:p>
        </w:tc>
        <w:tc>
          <w:tcPr>
            <w:tcW w:w="759" w:type="dxa"/>
            <w:noWrap/>
            <w:vAlign w:val="center"/>
          </w:tcPr>
          <w:p w14:paraId="3272EBE4">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highlight w:val="none"/>
                <w:u w:val="none"/>
              </w:rPr>
            </w:pPr>
            <w:r>
              <w:rPr>
                <w:rFonts w:hint="eastAsia" w:eastAsia="方正仿宋_GBK" w:cs="Times New Roman"/>
                <w:i w:val="0"/>
                <w:iCs w:val="0"/>
                <w:color w:val="auto"/>
                <w:kern w:val="0"/>
                <w:sz w:val="21"/>
                <w:szCs w:val="21"/>
                <w:highlight w:val="none"/>
                <w:u w:val="none"/>
                <w:lang w:val="en-US" w:eastAsia="zh-CN" w:bidi="ar"/>
              </w:rPr>
              <w:t>3</w:t>
            </w:r>
          </w:p>
        </w:tc>
        <w:tc>
          <w:tcPr>
            <w:tcW w:w="4800" w:type="dxa"/>
            <w:noWrap w:val="0"/>
            <w:vAlign w:val="center"/>
          </w:tcPr>
          <w:p w14:paraId="3E1B17C7">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highlight w:val="none"/>
                <w:u w:val="none"/>
                <w:lang w:val="en-US"/>
              </w:rPr>
            </w:pPr>
            <w:r>
              <w:rPr>
                <w:rFonts w:hint="default" w:ascii="Times New Roman" w:hAnsi="Times New Roman" w:eastAsia="方正仿宋_GBK" w:cs="Times New Roman"/>
                <w:i w:val="0"/>
                <w:iCs w:val="0"/>
                <w:color w:val="auto"/>
                <w:kern w:val="0"/>
                <w:sz w:val="21"/>
                <w:szCs w:val="21"/>
                <w:highlight w:val="none"/>
                <w:u w:val="none"/>
                <w:lang w:val="en-US" w:eastAsia="zh-CN" w:bidi="ar"/>
              </w:rPr>
              <w:t>（1）将党建服务延伸到物业服务+生活服务的得1分，没有延伸的不得分。（</w:t>
            </w:r>
            <w:r>
              <w:rPr>
                <w:rFonts w:hint="eastAsia" w:eastAsia="方正仿宋_GBK" w:cs="Times New Roman"/>
                <w:i w:val="0"/>
                <w:iCs w:val="0"/>
                <w:color w:val="auto"/>
                <w:kern w:val="0"/>
                <w:sz w:val="21"/>
                <w:szCs w:val="21"/>
                <w:highlight w:val="none"/>
                <w:u w:val="none"/>
                <w:lang w:val="en-US" w:eastAsia="zh-CN" w:bidi="ar"/>
              </w:rPr>
              <w:t>2</w:t>
            </w:r>
            <w:r>
              <w:rPr>
                <w:rFonts w:hint="default" w:ascii="Times New Roman" w:hAnsi="Times New Roman" w:eastAsia="方正仿宋_GBK" w:cs="Times New Roman"/>
                <w:i w:val="0"/>
                <w:iCs w:val="0"/>
                <w:color w:val="auto"/>
                <w:kern w:val="0"/>
                <w:sz w:val="21"/>
                <w:szCs w:val="21"/>
                <w:highlight w:val="none"/>
                <w:u w:val="none"/>
                <w:lang w:val="en-US" w:eastAsia="zh-CN" w:bidi="ar"/>
              </w:rPr>
              <w:t>）在养老、托幼、家政、快递收发等居民生活服务领域有业务营收的得1分，累计得分满2分后，不计分。</w:t>
            </w:r>
          </w:p>
        </w:tc>
        <w:tc>
          <w:tcPr>
            <w:tcW w:w="672" w:type="dxa"/>
            <w:noWrap/>
            <w:vAlign w:val="center"/>
          </w:tcPr>
          <w:p w14:paraId="6DB7F3A6">
            <w:pPr>
              <w:spacing w:line="300" w:lineRule="exact"/>
              <w:rPr>
                <w:rFonts w:hint="default" w:ascii="Times New Roman" w:hAnsi="Times New Roman" w:eastAsia="方正仿宋_GBK" w:cs="Times New Roman"/>
                <w:i w:val="0"/>
                <w:iCs w:val="0"/>
                <w:color w:val="auto"/>
                <w:sz w:val="21"/>
                <w:szCs w:val="21"/>
                <w:highlight w:val="yellow"/>
                <w:u w:val="none"/>
              </w:rPr>
            </w:pPr>
          </w:p>
        </w:tc>
        <w:tc>
          <w:tcPr>
            <w:tcW w:w="480" w:type="dxa"/>
            <w:noWrap w:val="0"/>
            <w:vAlign w:val="center"/>
          </w:tcPr>
          <w:p w14:paraId="4244D343">
            <w:pPr>
              <w:spacing w:line="300" w:lineRule="exact"/>
              <w:rPr>
                <w:rFonts w:hint="default" w:ascii="Times New Roman" w:hAnsi="Times New Roman" w:eastAsia="方正仿宋_GBK" w:cs="Times New Roman"/>
                <w:i w:val="0"/>
                <w:iCs w:val="0"/>
                <w:color w:val="auto"/>
                <w:sz w:val="21"/>
                <w:szCs w:val="21"/>
                <w:u w:val="none"/>
              </w:rPr>
            </w:pPr>
          </w:p>
        </w:tc>
      </w:tr>
      <w:tr w14:paraId="7429A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5" w:hRule="atLeast"/>
          <w:jc w:val="center"/>
        </w:trPr>
        <w:tc>
          <w:tcPr>
            <w:tcW w:w="641" w:type="dxa"/>
            <w:vMerge w:val="continue"/>
            <w:noWrap w:val="0"/>
            <w:vAlign w:val="center"/>
          </w:tcPr>
          <w:p w14:paraId="6565D8FE">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68806694">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eastAsia" w:eastAsia="方正仿宋_GBK" w:cs="Times New Roman"/>
                <w:i w:val="0"/>
                <w:iCs w:val="0"/>
                <w:color w:val="auto"/>
                <w:kern w:val="0"/>
                <w:sz w:val="21"/>
                <w:szCs w:val="21"/>
                <w:u w:val="none"/>
                <w:lang w:val="en-US" w:eastAsia="zh-CN" w:bidi="ar"/>
              </w:rPr>
              <w:t>11</w:t>
            </w:r>
            <w:r>
              <w:rPr>
                <w:rFonts w:hint="default" w:ascii="Times New Roman" w:hAnsi="Times New Roman" w:eastAsia="方正仿宋_GBK" w:cs="Times New Roman"/>
                <w:i w:val="0"/>
                <w:iCs w:val="0"/>
                <w:color w:val="auto"/>
                <w:kern w:val="0"/>
                <w:sz w:val="21"/>
                <w:szCs w:val="21"/>
                <w:u w:val="none"/>
                <w:lang w:val="en-US" w:eastAsia="zh-CN" w:bidi="ar"/>
              </w:rPr>
              <w:t>.物业服务企业对于小区内违法违规行为巡查、劝阻、报告职责履行到位</w:t>
            </w:r>
          </w:p>
        </w:tc>
        <w:tc>
          <w:tcPr>
            <w:tcW w:w="759" w:type="dxa"/>
            <w:noWrap/>
            <w:vAlign w:val="center"/>
          </w:tcPr>
          <w:p w14:paraId="074B769B">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eastAsia" w:eastAsia="方正仿宋_GBK" w:cs="Times New Roman"/>
                <w:i w:val="0"/>
                <w:iCs w:val="0"/>
                <w:color w:val="auto"/>
                <w:kern w:val="0"/>
                <w:sz w:val="21"/>
                <w:szCs w:val="21"/>
                <w:u w:val="none"/>
                <w:lang w:val="en-US" w:eastAsia="zh-CN" w:bidi="ar"/>
              </w:rPr>
              <w:t>3</w:t>
            </w:r>
          </w:p>
        </w:tc>
        <w:tc>
          <w:tcPr>
            <w:tcW w:w="4800" w:type="dxa"/>
            <w:noWrap w:val="0"/>
            <w:vAlign w:val="center"/>
          </w:tcPr>
          <w:p w14:paraId="0717105A">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物业服务发现业主、物业使用人在物业使用过程中有违反法律法规规定以及临时管理规约、管理规约行为的，予以劝阻、制止的1次得0.5分；（2）劝阻、制止无效的，对违反法律法规规定的行为报告街道办事处、乡镇人民政府或者有关主管部门，对违反临时管理规约、管理规约的行为应当及时报告业主委员会和居（村）民委员会的1次得0.5分；（3）物业服务企业建立健全安全管理制度，定期检查物业管理区域内各项安全防范措施的落实情况的得2分，没有制度或无定期检查记录的不得分；（4）发现有安全隐患的，及时设置警示标志，采取措施消除安全隐患或者向相关专业经营单位报告的1次得0.5分；（5）发生安全事故或者其他紧急情况时，物业服务人及时采取应急处置措施，并按照规定向有关主管部门或者相关专业经营单位报告的1次得0.5分；（6）（1）至（5）项累计满</w:t>
            </w:r>
            <w:r>
              <w:rPr>
                <w:rFonts w:hint="eastAsia" w:eastAsia="方正仿宋_GBK" w:cs="Times New Roman"/>
                <w:i w:val="0"/>
                <w:iCs w:val="0"/>
                <w:color w:val="auto"/>
                <w:kern w:val="0"/>
                <w:sz w:val="21"/>
                <w:szCs w:val="21"/>
                <w:u w:val="none"/>
                <w:lang w:val="en-US" w:eastAsia="zh-CN" w:bidi="ar"/>
              </w:rPr>
              <w:t>3</w:t>
            </w:r>
            <w:r>
              <w:rPr>
                <w:rFonts w:hint="default" w:ascii="Times New Roman" w:hAnsi="Times New Roman" w:eastAsia="方正仿宋_GBK" w:cs="Times New Roman"/>
                <w:i w:val="0"/>
                <w:iCs w:val="0"/>
                <w:color w:val="auto"/>
                <w:kern w:val="0"/>
                <w:sz w:val="21"/>
                <w:szCs w:val="21"/>
                <w:u w:val="none"/>
                <w:lang w:val="en-US" w:eastAsia="zh-CN" w:bidi="ar"/>
              </w:rPr>
              <w:t>分后，不计分。</w:t>
            </w:r>
          </w:p>
        </w:tc>
        <w:tc>
          <w:tcPr>
            <w:tcW w:w="672" w:type="dxa"/>
            <w:noWrap/>
            <w:vAlign w:val="center"/>
          </w:tcPr>
          <w:p w14:paraId="0E2D8CF2">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027013BD">
            <w:pPr>
              <w:spacing w:line="300" w:lineRule="exact"/>
              <w:rPr>
                <w:rFonts w:hint="default" w:ascii="Times New Roman" w:hAnsi="Times New Roman" w:eastAsia="方正仿宋_GBK" w:cs="Times New Roman"/>
                <w:i w:val="0"/>
                <w:iCs w:val="0"/>
                <w:color w:val="auto"/>
                <w:sz w:val="21"/>
                <w:szCs w:val="21"/>
                <w:u w:val="none"/>
              </w:rPr>
            </w:pPr>
          </w:p>
        </w:tc>
      </w:tr>
      <w:tr w14:paraId="1986C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5" w:hRule="atLeast"/>
          <w:jc w:val="center"/>
        </w:trPr>
        <w:tc>
          <w:tcPr>
            <w:tcW w:w="641" w:type="dxa"/>
            <w:noWrap w:val="0"/>
            <w:vAlign w:val="center"/>
          </w:tcPr>
          <w:p w14:paraId="71B1A524">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5E6203C0">
            <w:pPr>
              <w:keepNext w:val="0"/>
              <w:keepLines w:val="0"/>
              <w:widowControl/>
              <w:suppressLineNumbers w:val="0"/>
              <w:spacing w:line="300" w:lineRule="exact"/>
              <w:jc w:val="both"/>
              <w:textAlignment w:val="center"/>
              <w:rPr>
                <w:rFonts w:hint="default"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12.小区居民在物业服务领域集中整治中的问题均已解决</w:t>
            </w:r>
          </w:p>
        </w:tc>
        <w:tc>
          <w:tcPr>
            <w:tcW w:w="759" w:type="dxa"/>
            <w:noWrap/>
            <w:vAlign w:val="center"/>
          </w:tcPr>
          <w:p w14:paraId="1449771A">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1</w:t>
            </w:r>
          </w:p>
        </w:tc>
        <w:tc>
          <w:tcPr>
            <w:tcW w:w="4800" w:type="dxa"/>
            <w:noWrap w:val="0"/>
            <w:vAlign w:val="center"/>
          </w:tcPr>
          <w:p w14:paraId="24E5083F">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kern w:val="0"/>
                <w:sz w:val="21"/>
                <w:szCs w:val="21"/>
                <w:highlight w:val="none"/>
                <w:u w:val="none"/>
                <w:lang w:val="en-US" w:eastAsia="zh-CN" w:bidi="ar"/>
              </w:rPr>
            </w:pPr>
            <w:r>
              <w:rPr>
                <w:rFonts w:hint="eastAsia" w:eastAsia="方正仿宋_GBK" w:cs="Times New Roman"/>
                <w:i w:val="0"/>
                <w:iCs w:val="0"/>
                <w:color w:val="auto"/>
                <w:kern w:val="0"/>
                <w:sz w:val="21"/>
                <w:szCs w:val="21"/>
                <w:highlight w:val="none"/>
                <w:u w:val="none"/>
                <w:lang w:val="en-US" w:eastAsia="zh-CN" w:bidi="ar"/>
              </w:rPr>
              <w:t>（1）在本年度物业服务领域集中整治活动中未存在被举报问题的，得1分；（2）在本年度物业服务领域集中整治活动中存在被举报问题的，未改正的不得分。</w:t>
            </w:r>
          </w:p>
        </w:tc>
        <w:tc>
          <w:tcPr>
            <w:tcW w:w="672" w:type="dxa"/>
            <w:noWrap/>
            <w:vAlign w:val="center"/>
          </w:tcPr>
          <w:p w14:paraId="700B5886">
            <w:pPr>
              <w:spacing w:line="300" w:lineRule="exact"/>
              <w:rPr>
                <w:rFonts w:hint="default" w:ascii="Times New Roman" w:hAnsi="Times New Roman" w:eastAsia="方正仿宋_GBK" w:cs="Times New Roman"/>
                <w:i w:val="0"/>
                <w:iCs w:val="0"/>
                <w:color w:val="auto"/>
                <w:sz w:val="21"/>
                <w:szCs w:val="21"/>
                <w:highlight w:val="none"/>
                <w:u w:val="none"/>
              </w:rPr>
            </w:pPr>
          </w:p>
        </w:tc>
        <w:tc>
          <w:tcPr>
            <w:tcW w:w="480" w:type="dxa"/>
            <w:noWrap w:val="0"/>
            <w:vAlign w:val="center"/>
          </w:tcPr>
          <w:p w14:paraId="1A6370FA">
            <w:pPr>
              <w:spacing w:line="300" w:lineRule="exact"/>
              <w:rPr>
                <w:rFonts w:hint="default" w:ascii="Times New Roman" w:hAnsi="Times New Roman" w:eastAsia="方正仿宋_GBK" w:cs="Times New Roman"/>
                <w:i w:val="0"/>
                <w:iCs w:val="0"/>
                <w:color w:val="auto"/>
                <w:sz w:val="21"/>
                <w:szCs w:val="21"/>
                <w:highlight w:val="none"/>
                <w:u w:val="none"/>
              </w:rPr>
            </w:pPr>
          </w:p>
        </w:tc>
      </w:tr>
      <w:tr w14:paraId="2D8AC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5" w:hRule="atLeast"/>
          <w:jc w:val="center"/>
        </w:trPr>
        <w:tc>
          <w:tcPr>
            <w:tcW w:w="641" w:type="dxa"/>
            <w:vMerge w:val="restart"/>
            <w:noWrap w:val="0"/>
            <w:vAlign w:val="center"/>
          </w:tcPr>
          <w:p w14:paraId="66064E92">
            <w:pPr>
              <w:keepNext w:val="0"/>
              <w:keepLines w:val="0"/>
              <w:widowControl/>
              <w:suppressLineNumbers w:val="0"/>
              <w:spacing w:line="300" w:lineRule="exact"/>
              <w:jc w:val="left"/>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四、部门执法和专项服务进</w:t>
            </w:r>
            <w:r>
              <w:rPr>
                <w:rFonts w:hint="default" w:ascii="Times New Roman" w:hAnsi="Times New Roman" w:eastAsia="方正仿宋_GBK" w:cs="Times New Roman"/>
                <w:i w:val="0"/>
                <w:iCs w:val="0"/>
                <w:color w:val="auto"/>
                <w:kern w:val="0"/>
                <w:sz w:val="21"/>
                <w:szCs w:val="21"/>
                <w:u w:val="none"/>
                <w:lang w:val="en-US" w:eastAsia="zh-CN" w:bidi="ar"/>
              </w:rPr>
              <w:br w:type="textWrapping"/>
            </w:r>
            <w:r>
              <w:rPr>
                <w:rFonts w:hint="default" w:ascii="Times New Roman" w:hAnsi="Times New Roman" w:eastAsia="方正仿宋_GBK" w:cs="Times New Roman"/>
                <w:i w:val="0"/>
                <w:iCs w:val="0"/>
                <w:color w:val="auto"/>
                <w:kern w:val="0"/>
                <w:sz w:val="21"/>
                <w:szCs w:val="21"/>
                <w:u w:val="none"/>
                <w:lang w:val="en-US" w:eastAsia="zh-CN" w:bidi="ar"/>
              </w:rPr>
              <w:t>小区（20分）</w:t>
            </w:r>
          </w:p>
        </w:tc>
        <w:tc>
          <w:tcPr>
            <w:tcW w:w="2199" w:type="dxa"/>
            <w:noWrap w:val="0"/>
            <w:vAlign w:val="center"/>
          </w:tcPr>
          <w:p w14:paraId="17499801">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1.小区显著位置公示相关部门投诉、咨询电话</w:t>
            </w:r>
          </w:p>
        </w:tc>
        <w:tc>
          <w:tcPr>
            <w:tcW w:w="759" w:type="dxa"/>
            <w:noWrap/>
            <w:vAlign w:val="center"/>
          </w:tcPr>
          <w:p w14:paraId="385A9BAA">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3</w:t>
            </w:r>
          </w:p>
        </w:tc>
        <w:tc>
          <w:tcPr>
            <w:tcW w:w="4800" w:type="dxa"/>
            <w:noWrap w:val="0"/>
            <w:vAlign w:val="center"/>
          </w:tcPr>
          <w:p w14:paraId="2A9506B8">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小区显著位置持续公示相关部门投诉、咨询电话的得1分，未公示或公示时间不正常的不得分；（2）公示内容包含部门名称、监督管理职责内容、联系方式的得2分，缺少街道办事处、居民委员会、住房城乡建设主管部门、自然资源（城乡规划）主管部门、市场监督管理部门、公安机关、应急管理部门及消防救援机构、民政部门、卫生健康主管部门、司法行政部门、生态环境部门、人民防空主管部门、城市管理综合行政执法部门的缺一项扣0.1分，缺少一个部门相关职责的扣0.1分，缺少一个相关部门联系方式的扣0.1分，扣完为止。</w:t>
            </w:r>
          </w:p>
        </w:tc>
        <w:tc>
          <w:tcPr>
            <w:tcW w:w="672" w:type="dxa"/>
            <w:noWrap/>
            <w:vAlign w:val="center"/>
          </w:tcPr>
          <w:p w14:paraId="1C1CD097">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70E97905">
            <w:pPr>
              <w:spacing w:line="300" w:lineRule="exact"/>
              <w:rPr>
                <w:rFonts w:hint="default" w:ascii="Times New Roman" w:hAnsi="Times New Roman" w:eastAsia="方正仿宋_GBK" w:cs="Times New Roman"/>
                <w:i w:val="0"/>
                <w:iCs w:val="0"/>
                <w:color w:val="auto"/>
                <w:sz w:val="21"/>
                <w:szCs w:val="21"/>
                <w:u w:val="none"/>
              </w:rPr>
            </w:pPr>
          </w:p>
        </w:tc>
      </w:tr>
      <w:tr w14:paraId="44559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continue"/>
            <w:noWrap w:val="0"/>
            <w:vAlign w:val="center"/>
          </w:tcPr>
          <w:p w14:paraId="69554900">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186479D4">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2.小区显著位置公示供水、排水、供电、供气、供热等专业运营单位联系电话</w:t>
            </w:r>
          </w:p>
        </w:tc>
        <w:tc>
          <w:tcPr>
            <w:tcW w:w="759" w:type="dxa"/>
            <w:noWrap/>
            <w:vAlign w:val="center"/>
          </w:tcPr>
          <w:p w14:paraId="2FB74A8C">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2</w:t>
            </w:r>
          </w:p>
        </w:tc>
        <w:tc>
          <w:tcPr>
            <w:tcW w:w="4800" w:type="dxa"/>
            <w:noWrap w:val="0"/>
            <w:vAlign w:val="center"/>
          </w:tcPr>
          <w:p w14:paraId="614AB135">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小区显著位置持续公示供水、排水、供电、供气、供热等专业运营单位联系电话的得1分，未公示或公示时间不正常的不得分；（2）公示内容包含专业运营单位名称、供保维修服务热线、缴费及业务办理地点的得1分，缺少供水、供电、供气专业运营单位名称的缺一项扣0.1分，缺一个专业运营单位供保维修服务热线的扣0.1分，缺一个专业运营单位缴费及业务办理地点的扣0.1分，扣完为止。</w:t>
            </w:r>
          </w:p>
        </w:tc>
        <w:tc>
          <w:tcPr>
            <w:tcW w:w="672" w:type="dxa"/>
            <w:noWrap/>
            <w:vAlign w:val="center"/>
          </w:tcPr>
          <w:p w14:paraId="2C354FD9">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231557B4">
            <w:pPr>
              <w:spacing w:line="300" w:lineRule="exact"/>
              <w:rPr>
                <w:rFonts w:hint="default" w:ascii="Times New Roman" w:hAnsi="Times New Roman" w:eastAsia="方正仿宋_GBK" w:cs="Times New Roman"/>
                <w:i w:val="0"/>
                <w:iCs w:val="0"/>
                <w:color w:val="auto"/>
                <w:sz w:val="21"/>
                <w:szCs w:val="21"/>
                <w:u w:val="none"/>
              </w:rPr>
            </w:pPr>
          </w:p>
        </w:tc>
      </w:tr>
      <w:tr w14:paraId="35609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continue"/>
            <w:noWrap w:val="0"/>
            <w:vAlign w:val="center"/>
          </w:tcPr>
          <w:p w14:paraId="7681E31C">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44B4266F">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3.相关部门执法进小区，专业运营单位服务进小区</w:t>
            </w:r>
          </w:p>
        </w:tc>
        <w:tc>
          <w:tcPr>
            <w:tcW w:w="759" w:type="dxa"/>
            <w:noWrap/>
            <w:vAlign w:val="center"/>
          </w:tcPr>
          <w:p w14:paraId="47485A69">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2</w:t>
            </w:r>
          </w:p>
        </w:tc>
        <w:tc>
          <w:tcPr>
            <w:tcW w:w="4800" w:type="dxa"/>
            <w:noWrap w:val="0"/>
            <w:vAlign w:val="center"/>
          </w:tcPr>
          <w:p w14:paraId="6765439A">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（1）202</w:t>
            </w:r>
            <w:r>
              <w:rPr>
                <w:rFonts w:hint="eastAsia" w:eastAsia="方正仿宋_GBK" w:cs="Times New Roman"/>
                <w:i w:val="0"/>
                <w:iCs w:val="0"/>
                <w:color w:val="auto"/>
                <w:kern w:val="0"/>
                <w:sz w:val="21"/>
                <w:szCs w:val="21"/>
                <w:u w:val="none"/>
                <w:lang w:val="en-US" w:eastAsia="zh-CN" w:bidi="ar"/>
              </w:rPr>
              <w:t>4</w:t>
            </w:r>
            <w:r>
              <w:rPr>
                <w:rFonts w:hint="default" w:ascii="Times New Roman" w:hAnsi="Times New Roman" w:eastAsia="方正仿宋_GBK" w:cs="Times New Roman"/>
                <w:i w:val="0"/>
                <w:iCs w:val="0"/>
                <w:color w:val="auto"/>
                <w:kern w:val="0"/>
                <w:sz w:val="21"/>
                <w:szCs w:val="21"/>
                <w:u w:val="none"/>
                <w:lang w:val="en-US" w:eastAsia="zh-CN" w:bidi="ar"/>
              </w:rPr>
              <w:t>年以来，相关部门执法进小区1次的得0.2分，累计活动得分满1分后，不计分；（2）202</w:t>
            </w:r>
            <w:r>
              <w:rPr>
                <w:rFonts w:hint="eastAsia" w:eastAsia="方正仿宋_GBK" w:cs="Times New Roman"/>
                <w:i w:val="0"/>
                <w:iCs w:val="0"/>
                <w:color w:val="auto"/>
                <w:kern w:val="0"/>
                <w:sz w:val="21"/>
                <w:szCs w:val="21"/>
                <w:u w:val="none"/>
                <w:lang w:val="en-US" w:eastAsia="zh-CN" w:bidi="ar"/>
              </w:rPr>
              <w:t>4</w:t>
            </w:r>
            <w:r>
              <w:rPr>
                <w:rFonts w:hint="default" w:ascii="Times New Roman" w:hAnsi="Times New Roman" w:eastAsia="方正仿宋_GBK" w:cs="Times New Roman"/>
                <w:i w:val="0"/>
                <w:iCs w:val="0"/>
                <w:color w:val="auto"/>
                <w:kern w:val="0"/>
                <w:sz w:val="21"/>
                <w:szCs w:val="21"/>
                <w:u w:val="none"/>
                <w:lang w:val="en-US" w:eastAsia="zh-CN" w:bidi="ar"/>
              </w:rPr>
              <w:t>年以来，专业运营单位服务进小区1次的得0.2分，累计活动得分满1分后，不计分。</w:t>
            </w:r>
          </w:p>
        </w:tc>
        <w:tc>
          <w:tcPr>
            <w:tcW w:w="672" w:type="dxa"/>
            <w:noWrap/>
            <w:vAlign w:val="center"/>
          </w:tcPr>
          <w:p w14:paraId="1762D25F">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766010D5">
            <w:pPr>
              <w:spacing w:line="300" w:lineRule="exact"/>
              <w:rPr>
                <w:rFonts w:hint="default" w:ascii="Times New Roman" w:hAnsi="Times New Roman" w:eastAsia="方正仿宋_GBK" w:cs="Times New Roman"/>
                <w:i w:val="0"/>
                <w:iCs w:val="0"/>
                <w:color w:val="auto"/>
                <w:sz w:val="21"/>
                <w:szCs w:val="21"/>
                <w:u w:val="none"/>
              </w:rPr>
            </w:pPr>
          </w:p>
        </w:tc>
      </w:tr>
      <w:tr w14:paraId="1B66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0" w:hRule="atLeast"/>
          <w:jc w:val="center"/>
        </w:trPr>
        <w:tc>
          <w:tcPr>
            <w:tcW w:w="641" w:type="dxa"/>
            <w:vMerge w:val="continue"/>
            <w:noWrap w:val="0"/>
            <w:vAlign w:val="center"/>
          </w:tcPr>
          <w:p w14:paraId="30377035">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0304B8CA">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kern w:val="0"/>
                <w:sz w:val="21"/>
                <w:szCs w:val="21"/>
                <w:highlight w:val="none"/>
                <w:u w:val="none"/>
                <w:lang w:val="en-US" w:eastAsia="zh-CN" w:bidi="ar"/>
              </w:rPr>
              <w:t>4.小区无占用堵塞公共和消防通道、楼道无乱堆杂物现象</w:t>
            </w:r>
          </w:p>
        </w:tc>
        <w:tc>
          <w:tcPr>
            <w:tcW w:w="759" w:type="dxa"/>
            <w:noWrap/>
            <w:vAlign w:val="center"/>
          </w:tcPr>
          <w:p w14:paraId="698E2171">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kern w:val="0"/>
                <w:sz w:val="21"/>
                <w:szCs w:val="21"/>
                <w:highlight w:val="none"/>
                <w:u w:val="none"/>
                <w:lang w:val="en-US" w:eastAsia="zh-CN" w:bidi="ar"/>
              </w:rPr>
              <w:t>4</w:t>
            </w:r>
          </w:p>
        </w:tc>
        <w:tc>
          <w:tcPr>
            <w:tcW w:w="4800" w:type="dxa"/>
            <w:noWrap w:val="0"/>
            <w:vAlign w:val="center"/>
          </w:tcPr>
          <w:p w14:paraId="000A55BE">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highlight w:val="none"/>
                <w:u w:val="none"/>
              </w:rPr>
            </w:pPr>
            <w:r>
              <w:rPr>
                <w:rFonts w:hint="default" w:ascii="Times New Roman" w:hAnsi="Times New Roman" w:eastAsia="方正仿宋_GBK" w:cs="Times New Roman"/>
                <w:i w:val="0"/>
                <w:iCs w:val="0"/>
                <w:color w:val="auto"/>
                <w:kern w:val="0"/>
                <w:sz w:val="21"/>
                <w:szCs w:val="21"/>
                <w:highlight w:val="none"/>
                <w:u w:val="none"/>
                <w:lang w:val="en-US" w:eastAsia="zh-CN" w:bidi="ar"/>
              </w:rPr>
              <w:t>（1）制定消防安全制度，消防安全操作规程，制定灭火和应急疏散预案的得1分，缺一项扣0.5分，扣完为止；（2）消防设施、器材以及消防安全疏散标志等齐全、完好有效，检测记录完整准确的得0.5分，缺一项扣0.25分，扣完为止；（3）疏散通道、安全出口、消防车道畅通，组织消防演练的得1分，缺1项扣0.5分，扣完为止；（4）无违反规划私搭乱建，无擅自改变房屋用途的得1分；（5）商业网点管理有序，符合卫生条件，无乱设摊点、广告牌和乱贴、乱画现象的得0.5分，有一项未达到扣0.25分，扣完为止；（6）每发现一处私搭乱建、擅自改变房屋使用用途、占用堵塞消防车通道、楼道乱堆杂物的扣1分，扣完4分为止。</w:t>
            </w:r>
          </w:p>
        </w:tc>
        <w:tc>
          <w:tcPr>
            <w:tcW w:w="672" w:type="dxa"/>
            <w:noWrap/>
            <w:vAlign w:val="center"/>
          </w:tcPr>
          <w:p w14:paraId="0DE4CFE2">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09909862">
            <w:pPr>
              <w:spacing w:line="300" w:lineRule="exact"/>
              <w:rPr>
                <w:rFonts w:hint="default" w:ascii="Times New Roman" w:hAnsi="Times New Roman" w:eastAsia="方正仿宋_GBK" w:cs="Times New Roman"/>
                <w:i w:val="0"/>
                <w:iCs w:val="0"/>
                <w:color w:val="auto"/>
                <w:sz w:val="21"/>
                <w:szCs w:val="21"/>
                <w:u w:val="none"/>
              </w:rPr>
            </w:pPr>
          </w:p>
        </w:tc>
      </w:tr>
      <w:tr w14:paraId="1D9C2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5" w:hRule="atLeast"/>
          <w:jc w:val="center"/>
        </w:trPr>
        <w:tc>
          <w:tcPr>
            <w:tcW w:w="641" w:type="dxa"/>
            <w:vMerge w:val="continue"/>
            <w:noWrap w:val="0"/>
            <w:vAlign w:val="center"/>
          </w:tcPr>
          <w:p w14:paraId="35DE0447">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77311512">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5.小区车辆停放、充电有序规范。</w:t>
            </w:r>
          </w:p>
        </w:tc>
        <w:tc>
          <w:tcPr>
            <w:tcW w:w="759" w:type="dxa"/>
            <w:noWrap/>
            <w:vAlign w:val="center"/>
          </w:tcPr>
          <w:p w14:paraId="46C6D6C7">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w:t>
            </w:r>
          </w:p>
        </w:tc>
        <w:tc>
          <w:tcPr>
            <w:tcW w:w="4800" w:type="dxa"/>
            <w:noWrap w:val="0"/>
            <w:vAlign w:val="center"/>
          </w:tcPr>
          <w:p w14:paraId="6CF51D9F">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机动车停车场管理制度完善，管理责任明确，车辆进出有登记，车辆停放管理有序，合理设置电动汽车充电设施，按照规定收费，并在显要位置进行明码标价的得2分，每一项未完善扣0.5分，扣完为止；（2）非机动车车辆管理制度完善，合理设置电动自行车充电设施，按规定位置停放，管理有序的；车辆停放按照规定收费，并在显要位置进行明码标价的得2分，每一项未完善扣0.5分，扣完为止；（3）提供车辆保管服务的，未另行签订了保管合同扣0.5分；（4）每发现一处在建筑物内的首层门厅、疏散通道、安全出口、楼梯间等影响消防通道畅通的区域停放电动自行车，为电动自行车充电，在标准层二楼以上建筑物专有部分为电动自行车、电动自行车蓄电池充电，违反安全用电要求乱拉电线和插座为电动汽车、电动自行车、电动自行车蓄电池充电的扣1分，扣完4分为止。</w:t>
            </w:r>
          </w:p>
        </w:tc>
        <w:tc>
          <w:tcPr>
            <w:tcW w:w="672" w:type="dxa"/>
            <w:noWrap/>
            <w:vAlign w:val="center"/>
          </w:tcPr>
          <w:p w14:paraId="58A61594">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10492BF8">
            <w:pPr>
              <w:spacing w:line="300" w:lineRule="exact"/>
              <w:rPr>
                <w:rFonts w:hint="default" w:ascii="Times New Roman" w:hAnsi="Times New Roman" w:eastAsia="方正仿宋_GBK" w:cs="Times New Roman"/>
                <w:i w:val="0"/>
                <w:iCs w:val="0"/>
                <w:color w:val="auto"/>
                <w:sz w:val="21"/>
                <w:szCs w:val="21"/>
                <w:u w:val="none"/>
              </w:rPr>
            </w:pPr>
          </w:p>
        </w:tc>
      </w:tr>
      <w:tr w14:paraId="3F536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continue"/>
            <w:noWrap w:val="0"/>
            <w:vAlign w:val="center"/>
          </w:tcPr>
          <w:p w14:paraId="4979E65C">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7FFF486A">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6.小区实施生活垃圾分类情况</w:t>
            </w:r>
          </w:p>
        </w:tc>
        <w:tc>
          <w:tcPr>
            <w:tcW w:w="759" w:type="dxa"/>
            <w:noWrap/>
            <w:vAlign w:val="center"/>
          </w:tcPr>
          <w:p w14:paraId="04582D9E">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4</w:t>
            </w:r>
          </w:p>
        </w:tc>
        <w:tc>
          <w:tcPr>
            <w:tcW w:w="4800" w:type="dxa"/>
            <w:noWrap w:val="0"/>
            <w:vAlign w:val="center"/>
          </w:tcPr>
          <w:p w14:paraId="41C93F5E">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建立生活垃圾分类管理台账，详细记录垃圾类别、数量、分类收运等情况的得1分；（2）主要出入口、宣传栏、楼栋大堂、电梯间等显著位置张贴垃圾分类投放指引或宣传海报的得1分；（3）环卫设备完备，设置垃圾箱房，按“四分类法”设置垃圾分类桶的得1分；（4）设置资源合理回收设备的得1分。</w:t>
            </w:r>
          </w:p>
        </w:tc>
        <w:tc>
          <w:tcPr>
            <w:tcW w:w="672" w:type="dxa"/>
            <w:noWrap/>
            <w:vAlign w:val="center"/>
          </w:tcPr>
          <w:p w14:paraId="1BA13459">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29D3963E">
            <w:pPr>
              <w:spacing w:line="300" w:lineRule="exact"/>
              <w:rPr>
                <w:rFonts w:hint="default" w:ascii="Times New Roman" w:hAnsi="Times New Roman" w:eastAsia="方正仿宋_GBK" w:cs="Times New Roman"/>
                <w:i w:val="0"/>
                <w:iCs w:val="0"/>
                <w:color w:val="auto"/>
                <w:sz w:val="21"/>
                <w:szCs w:val="21"/>
                <w:u w:val="none"/>
              </w:rPr>
            </w:pPr>
          </w:p>
        </w:tc>
      </w:tr>
      <w:tr w14:paraId="220E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vMerge w:val="continue"/>
            <w:noWrap w:val="0"/>
            <w:vAlign w:val="center"/>
          </w:tcPr>
          <w:p w14:paraId="79B06E26">
            <w:pPr>
              <w:spacing w:line="300" w:lineRule="exact"/>
              <w:rPr>
                <w:rFonts w:hint="default" w:ascii="Times New Roman" w:hAnsi="Times New Roman" w:eastAsia="方正仿宋_GBK" w:cs="Times New Roman"/>
                <w:i w:val="0"/>
                <w:iCs w:val="0"/>
                <w:color w:val="auto"/>
                <w:sz w:val="21"/>
                <w:szCs w:val="21"/>
                <w:u w:val="none"/>
              </w:rPr>
            </w:pPr>
          </w:p>
        </w:tc>
        <w:tc>
          <w:tcPr>
            <w:tcW w:w="2199" w:type="dxa"/>
            <w:noWrap w:val="0"/>
            <w:vAlign w:val="center"/>
          </w:tcPr>
          <w:p w14:paraId="555E244B">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7.小区文明饲养宠物</w:t>
            </w:r>
          </w:p>
        </w:tc>
        <w:tc>
          <w:tcPr>
            <w:tcW w:w="759" w:type="dxa"/>
            <w:noWrap/>
            <w:vAlign w:val="center"/>
          </w:tcPr>
          <w:p w14:paraId="08DD17A0">
            <w:pPr>
              <w:keepNext w:val="0"/>
              <w:keepLines w:val="0"/>
              <w:widowControl/>
              <w:suppressLineNumbers w:val="0"/>
              <w:spacing w:line="300" w:lineRule="exact"/>
              <w:jc w:val="center"/>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w:t>
            </w:r>
          </w:p>
        </w:tc>
        <w:tc>
          <w:tcPr>
            <w:tcW w:w="4800" w:type="dxa"/>
            <w:noWrap w:val="0"/>
            <w:vAlign w:val="center"/>
          </w:tcPr>
          <w:p w14:paraId="11BA9F1D">
            <w:pPr>
              <w:keepNext w:val="0"/>
              <w:keepLines w:val="0"/>
              <w:widowControl/>
              <w:suppressLineNumbers w:val="0"/>
              <w:spacing w:line="300" w:lineRule="exact"/>
              <w:jc w:val="both"/>
              <w:textAlignment w:val="center"/>
              <w:rPr>
                <w:rFonts w:hint="default" w:ascii="Times New Roman" w:hAnsi="Times New Roman" w:eastAsia="方正仿宋_GBK" w:cs="Times New Roman"/>
                <w:i w:val="0"/>
                <w:iCs w:val="0"/>
                <w:color w:val="auto"/>
                <w:sz w:val="21"/>
                <w:szCs w:val="21"/>
                <w:u w:val="none"/>
              </w:rPr>
            </w:pPr>
            <w:r>
              <w:rPr>
                <w:rFonts w:hint="default" w:ascii="Times New Roman" w:hAnsi="Times New Roman" w:eastAsia="方正仿宋_GBK" w:cs="Times New Roman"/>
                <w:i w:val="0"/>
                <w:iCs w:val="0"/>
                <w:color w:val="auto"/>
                <w:kern w:val="0"/>
                <w:sz w:val="21"/>
                <w:szCs w:val="21"/>
                <w:u w:val="none"/>
                <w:lang w:val="en-US" w:eastAsia="zh-CN" w:bidi="ar"/>
              </w:rPr>
              <w:t>（1）建立健全小区饲养动物相关管理制度，有小区饲养动物台账，在小区主要出入口、宣传栏、楼栋大堂、电梯间等显著位置张贴文明饲养动物指引的得1分，缺一项扣0.5分，扣完为止。</w:t>
            </w:r>
          </w:p>
        </w:tc>
        <w:tc>
          <w:tcPr>
            <w:tcW w:w="672" w:type="dxa"/>
            <w:noWrap/>
            <w:vAlign w:val="center"/>
          </w:tcPr>
          <w:p w14:paraId="1A67E9E7">
            <w:pPr>
              <w:spacing w:line="300" w:lineRule="exact"/>
              <w:rPr>
                <w:rFonts w:hint="default" w:ascii="Times New Roman" w:hAnsi="Times New Roman" w:eastAsia="方正仿宋_GBK" w:cs="Times New Roman"/>
                <w:i w:val="0"/>
                <w:iCs w:val="0"/>
                <w:color w:val="auto"/>
                <w:sz w:val="21"/>
                <w:szCs w:val="21"/>
                <w:u w:val="none"/>
              </w:rPr>
            </w:pPr>
          </w:p>
        </w:tc>
        <w:tc>
          <w:tcPr>
            <w:tcW w:w="480" w:type="dxa"/>
            <w:noWrap w:val="0"/>
            <w:vAlign w:val="center"/>
          </w:tcPr>
          <w:p w14:paraId="060A3269">
            <w:pPr>
              <w:spacing w:line="300" w:lineRule="exact"/>
              <w:rPr>
                <w:rFonts w:hint="default" w:ascii="Times New Roman" w:hAnsi="Times New Roman" w:eastAsia="方正仿宋_GBK" w:cs="Times New Roman"/>
                <w:i w:val="0"/>
                <w:iCs w:val="0"/>
                <w:color w:val="auto"/>
                <w:sz w:val="21"/>
                <w:szCs w:val="21"/>
                <w:u w:val="none"/>
              </w:rPr>
            </w:pPr>
          </w:p>
        </w:tc>
      </w:tr>
    </w:tbl>
    <w:p w14:paraId="5A3827A9">
      <w:pPr>
        <w:pStyle w:val="10"/>
        <w:rPr>
          <w:rFonts w:hint="default" w:ascii="Times New Roman" w:hAnsi="Times New Roman" w:cs="Times New Roman"/>
          <w:color w:val="auto"/>
          <w:lang w:val="en-US" w:eastAsia="zh-CN"/>
        </w:rPr>
      </w:pPr>
    </w:p>
    <w:p w14:paraId="26C231D3">
      <w:pPr>
        <w:pStyle w:val="10"/>
        <w:rPr>
          <w:rFonts w:hint="default" w:ascii="Times New Roman" w:hAnsi="Times New Roman" w:cs="Times New Roman"/>
          <w:color w:val="auto"/>
          <w:lang w:val="en-US" w:eastAsia="zh-CN"/>
        </w:rPr>
      </w:pPr>
    </w:p>
    <w:p w14:paraId="7549403A">
      <w:pPr>
        <w:pStyle w:val="10"/>
        <w:rPr>
          <w:rFonts w:hint="default" w:ascii="Times New Roman" w:hAnsi="Times New Roman" w:cs="Times New Roman"/>
          <w:color w:val="auto"/>
          <w:lang w:val="en-US" w:eastAsia="zh-CN"/>
        </w:rPr>
      </w:pPr>
    </w:p>
    <w:p w14:paraId="1F4C6071">
      <w:pPr>
        <w:pStyle w:val="10"/>
        <w:rPr>
          <w:rFonts w:hint="default" w:ascii="Times New Roman" w:hAnsi="Times New Roman" w:cs="Times New Roman"/>
          <w:color w:val="auto"/>
          <w:lang w:val="en-US" w:eastAsia="zh-CN"/>
        </w:rPr>
      </w:pPr>
    </w:p>
    <w:p w14:paraId="62B4E291">
      <w:pPr>
        <w:pStyle w:val="10"/>
        <w:rPr>
          <w:rFonts w:hint="default" w:ascii="Times New Roman" w:hAnsi="Times New Roman" w:cs="Times New Roman"/>
          <w:color w:val="auto"/>
          <w:lang w:val="en-US" w:eastAsia="zh-CN"/>
        </w:rPr>
      </w:pPr>
    </w:p>
    <w:p w14:paraId="4141E08F">
      <w:pPr>
        <w:pStyle w:val="10"/>
        <w:rPr>
          <w:rFonts w:hint="default" w:ascii="Times New Roman" w:hAnsi="Times New Roman" w:cs="Times New Roman"/>
          <w:color w:val="auto"/>
          <w:lang w:val="en-US" w:eastAsia="zh-CN"/>
        </w:rPr>
      </w:pPr>
    </w:p>
    <w:p w14:paraId="16B17EB7">
      <w:pPr>
        <w:pStyle w:val="10"/>
        <w:rPr>
          <w:rFonts w:hint="default" w:ascii="Times New Roman" w:hAnsi="Times New Roman" w:cs="Times New Roman"/>
          <w:color w:val="auto"/>
          <w:lang w:val="en-US" w:eastAsia="zh-CN"/>
        </w:rPr>
      </w:pPr>
    </w:p>
    <w:p w14:paraId="709DEEC8">
      <w:pPr>
        <w:pStyle w:val="10"/>
        <w:rPr>
          <w:rFonts w:hint="default" w:ascii="Times New Roman" w:hAnsi="Times New Roman" w:cs="Times New Roman"/>
          <w:color w:val="auto"/>
          <w:lang w:val="en-US" w:eastAsia="zh-CN"/>
        </w:rPr>
      </w:pPr>
    </w:p>
    <w:p w14:paraId="63F6A6D7">
      <w:pPr>
        <w:pStyle w:val="3"/>
        <w:adjustRightInd w:val="0"/>
        <w:snapToGrid w:val="0"/>
        <w:spacing w:beforeLines="40" w:line="390" w:lineRule="exact"/>
        <w:ind w:left="0" w:leftChars="0" w:right="320" w:rightChars="100" w:firstLine="0" w:firstLineChars="0"/>
        <w:rPr>
          <w:rFonts w:hint="default" w:ascii="Times New Roman" w:hAnsi="Times New Roman" w:eastAsia="仿宋_GB2312" w:cs="Times New Roman"/>
          <w:color w:val="auto"/>
          <w:sz w:val="32"/>
          <w:szCs w:val="32"/>
        </w:rPr>
      </w:pPr>
    </w:p>
    <w:sectPr>
      <w:pgSz w:w="11906" w:h="16838"/>
      <w:pgMar w:top="2098" w:right="1304" w:bottom="1588" w:left="1588"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行楷">
    <w:panose1 w:val="02010800040101010101"/>
    <w:charset w:val="86"/>
    <w:family w:val="auto"/>
    <w:pitch w:val="default"/>
    <w:sig w:usb0="00000001" w:usb1="080F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script"/>
    <w:pitch w:val="default"/>
    <w:sig w:usb0="A00002BF" w:usb1="38CF7CFA" w:usb2="00082016" w:usb3="00000000" w:csb0="00040001"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2000000000000000000"/>
    <w:charset w:val="86"/>
    <w:family w:val="script"/>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7697C">
    <w:pPr>
      <w:spacing w:line="1"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656A5">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656590" cy="304165"/>
              <wp:effectExtent l="0" t="0" r="0" b="0"/>
              <wp:wrapNone/>
              <wp:docPr id="4" name="文本框 2"/>
              <wp:cNvGraphicFramePr/>
              <a:graphic xmlns:a="http://schemas.openxmlformats.org/drawingml/2006/main">
                <a:graphicData uri="http://schemas.microsoft.com/office/word/2010/wordprocessingShape">
                  <wps:wsp>
                    <wps:cNvSpPr txBox="1"/>
                    <wps:spPr>
                      <a:xfrm>
                        <a:off x="0" y="0"/>
                        <a:ext cx="656590" cy="304165"/>
                      </a:xfrm>
                      <a:prstGeom prst="rect">
                        <a:avLst/>
                      </a:prstGeom>
                      <a:noFill/>
                      <a:ln>
                        <a:noFill/>
                      </a:ln>
                    </wps:spPr>
                    <wps:txbx>
                      <w:txbxContent>
                        <w:p w14:paraId="51E18FFF">
                          <w:pPr>
                            <w:pStyle w:val="19"/>
                            <w:jc w:val="left"/>
                          </w:pPr>
                          <w:r>
                            <w:t xml:space="preserve">— </w:t>
                          </w:r>
                          <w:r>
                            <w:fldChar w:fldCharType="begin"/>
                          </w:r>
                          <w:r>
                            <w:instrText xml:space="preserve"> PAGE  \* MERGEFORMAT </w:instrText>
                          </w:r>
                          <w:r>
                            <w:fldChar w:fldCharType="separate"/>
                          </w:r>
                          <w:r>
                            <w:t>8</w:t>
                          </w:r>
                          <w:r>
                            <w:fldChar w:fldCharType="end"/>
                          </w:r>
                          <w:r>
                            <w:t xml:space="preserve"> —</w:t>
                          </w:r>
                        </w:p>
                      </w:txbxContent>
                    </wps:txbx>
                    <wps:bodyPr lIns="0" tIns="0" rIns="0" bIns="0" upright="1"/>
                  </wps:wsp>
                </a:graphicData>
              </a:graphic>
            </wp:anchor>
          </w:drawing>
        </mc:Choice>
        <mc:Fallback>
          <w:pict>
            <v:shape id="文本框 2" o:spid="_x0000_s1026" o:spt="202" type="#_x0000_t202" style="position:absolute;left:0pt;margin-top:0pt;height:23.95pt;width:51.7pt;mso-position-horizontal:outside;mso-position-horizontal-relative:margin;z-index:251659264;mso-width-relative:page;mso-height-relative:page;" filled="f" stroked="f" coordsize="21600,21600" o:gfxdata="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yWxcY1AAAAAQBAAAPAAAAAAAAAAEAIAAAACIAAABkcnMvZG93bnJldi54bWxQSwECFAAUAAAA&#10;CACHTuJAIBQsVLkBAABxAwAADgAAAAAAAAABACAAAAAjAQAAZHJzL2Uyb0RvYy54bWxQSwUGAAAA&#10;AAYABgBZAQAATgUAAAAA&#10;">
              <v:fill on="f" focussize="0,0"/>
              <v:stroke on="f"/>
              <v:imagedata o:title=""/>
              <o:lock v:ext="edit" aspectratio="f"/>
              <v:textbox inset="0mm,0mm,0mm,0mm">
                <w:txbxContent>
                  <w:p w14:paraId="51E18FFF">
                    <w:pPr>
                      <w:pStyle w:val="19"/>
                      <w:jc w:val="left"/>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桂林物协">
    <w15:presenceInfo w15:providerId="WPS Office" w15:userId="9334588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1"/>
  <w:bordersDoNotSurroundFooter w:val="1"/>
  <w:revisionView w:markup="0"/>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kNmQ2NDAzNTllNTk3ZGI5OGQ5Y2JmY2U0MTVhMmQifQ=="/>
  </w:docVars>
  <w:rsids>
    <w:rsidRoot w:val="00F604F2"/>
    <w:rsid w:val="000705C6"/>
    <w:rsid w:val="000F6441"/>
    <w:rsid w:val="0012560A"/>
    <w:rsid w:val="001472F1"/>
    <w:rsid w:val="00426EC9"/>
    <w:rsid w:val="004F111C"/>
    <w:rsid w:val="006E1472"/>
    <w:rsid w:val="00975764"/>
    <w:rsid w:val="00980B36"/>
    <w:rsid w:val="00A840DC"/>
    <w:rsid w:val="00B54C37"/>
    <w:rsid w:val="00B6148F"/>
    <w:rsid w:val="00C24B7B"/>
    <w:rsid w:val="00F604F2"/>
    <w:rsid w:val="0F2B003F"/>
    <w:rsid w:val="13AD6DF7"/>
    <w:rsid w:val="16B87028"/>
    <w:rsid w:val="1DEF6788"/>
    <w:rsid w:val="25060DB7"/>
    <w:rsid w:val="27D96719"/>
    <w:rsid w:val="27E87FA8"/>
    <w:rsid w:val="36D75F24"/>
    <w:rsid w:val="37BDFE2A"/>
    <w:rsid w:val="37EF2981"/>
    <w:rsid w:val="3BBFA853"/>
    <w:rsid w:val="3FB18670"/>
    <w:rsid w:val="3FBB82F8"/>
    <w:rsid w:val="57765FF1"/>
    <w:rsid w:val="57FA2FE7"/>
    <w:rsid w:val="5E7B0723"/>
    <w:rsid w:val="677F305A"/>
    <w:rsid w:val="6F216CEF"/>
    <w:rsid w:val="6FBB2ED5"/>
    <w:rsid w:val="71472B31"/>
    <w:rsid w:val="717EDB47"/>
    <w:rsid w:val="77441282"/>
    <w:rsid w:val="77665DCE"/>
    <w:rsid w:val="7B2E4D5A"/>
    <w:rsid w:val="7BBE6631"/>
    <w:rsid w:val="7BCF36F3"/>
    <w:rsid w:val="7BFE8266"/>
    <w:rsid w:val="7BFF2DC2"/>
    <w:rsid w:val="7FF308EA"/>
    <w:rsid w:val="7FFF3F3D"/>
    <w:rsid w:val="7FFF7B3D"/>
    <w:rsid w:val="86BE25BE"/>
    <w:rsid w:val="AFF7CD8A"/>
    <w:rsid w:val="B6BE80E0"/>
    <w:rsid w:val="BDD79C16"/>
    <w:rsid w:val="BF36D33B"/>
    <w:rsid w:val="BF5A0E4C"/>
    <w:rsid w:val="C73DE3C4"/>
    <w:rsid w:val="D69BFECC"/>
    <w:rsid w:val="DCB70D4F"/>
    <w:rsid w:val="DEFF074B"/>
    <w:rsid w:val="DF97A518"/>
    <w:rsid w:val="DFBEE747"/>
    <w:rsid w:val="E777129E"/>
    <w:rsid w:val="E7DFC7EE"/>
    <w:rsid w:val="E96DDEDA"/>
    <w:rsid w:val="E9ED4C18"/>
    <w:rsid w:val="EBEF1081"/>
    <w:rsid w:val="EFFB0F2E"/>
    <w:rsid w:val="F3FB0AC1"/>
    <w:rsid w:val="F5B751F3"/>
    <w:rsid w:val="F7AFD335"/>
    <w:rsid w:val="FB8E82C1"/>
    <w:rsid w:val="FBFF18B4"/>
    <w:rsid w:val="FD3AC997"/>
    <w:rsid w:val="FD3F7BD2"/>
    <w:rsid w:val="FD73BA87"/>
    <w:rsid w:val="FDADB450"/>
    <w:rsid w:val="FE3F077F"/>
    <w:rsid w:val="FF7FDAA5"/>
    <w:rsid w:val="FFDF9D0D"/>
    <w:rsid w:val="FFEFF68F"/>
    <w:rsid w:val="FFFB190B"/>
    <w:rsid w:val="FFFB5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86" w:lineRule="exact"/>
      <w:jc w:val="both"/>
    </w:pPr>
    <w:rPr>
      <w:rFonts w:ascii="Times New Roman" w:hAnsi="Times New Roman" w:eastAsia="仿宋_GB2312" w:cstheme="minorBidi"/>
      <w:kern w:val="2"/>
      <w:sz w:val="32"/>
      <w:szCs w:val="3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qFormat/>
    <w:uiPriority w:val="0"/>
    <w:pPr>
      <w:widowControl w:val="0"/>
      <w:jc w:val="both"/>
    </w:pPr>
    <w:rPr>
      <w:rFonts w:ascii="仿宋_GB2312" w:hAnsi="宋体" w:eastAsia="仿宋_GB2312" w:cstheme="minorBidi"/>
      <w:kern w:val="2"/>
      <w:sz w:val="21"/>
      <w:szCs w:val="21"/>
      <w:lang w:val="en-US" w:eastAsia="zh-CN" w:bidi="ar-SA"/>
    </w:rPr>
  </w:style>
  <w:style w:type="paragraph" w:styleId="3">
    <w:name w:val="Body Text Indent 2"/>
    <w:qFormat/>
    <w:uiPriority w:val="0"/>
    <w:pPr>
      <w:widowControl w:val="0"/>
      <w:spacing w:line="560" w:lineRule="exact"/>
      <w:ind w:left="1197" w:leftChars="93" w:hanging="918" w:hangingChars="328"/>
      <w:jc w:val="both"/>
    </w:pPr>
    <w:rPr>
      <w:rFonts w:ascii="方正仿宋_GBK" w:eastAsia="方正仿宋_GBK" w:hAnsiTheme="minorHAnsi" w:cstheme="minorBidi"/>
      <w:color w:val="000000"/>
      <w:kern w:val="2"/>
      <w:sz w:val="28"/>
      <w:szCs w:val="28"/>
      <w:lang w:val="en-US" w:eastAsia="zh-CN" w:bidi="ar-SA"/>
    </w:rPr>
  </w:style>
  <w:style w:type="paragraph" w:styleId="4">
    <w:name w:val="footer"/>
    <w:qFormat/>
    <w:uiPriority w:val="0"/>
    <w:pPr>
      <w:widowControl w:val="0"/>
      <w:tabs>
        <w:tab w:val="center" w:pos="4153"/>
        <w:tab w:val="right" w:pos="8306"/>
      </w:tabs>
      <w:snapToGrid w:val="0"/>
      <w:jc w:val="left"/>
    </w:pPr>
    <w:rPr>
      <w:rFonts w:asciiTheme="minorHAnsi" w:hAnsiTheme="minorHAnsi" w:eastAsiaTheme="minorEastAsia" w:cstheme="minorBidi"/>
      <w:kern w:val="2"/>
      <w:sz w:val="18"/>
      <w:szCs w:val="18"/>
      <w:lang w:val="en-US" w:eastAsia="zh-CN" w:bidi="ar-SA"/>
    </w:rPr>
  </w:style>
  <w:style w:type="paragraph" w:styleId="5">
    <w:name w:val="header"/>
    <w:qFormat/>
    <w:uiPriority w:val="0"/>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lang w:val="en-US" w:eastAsia="zh-CN" w:bidi="ar-SA"/>
    </w:rPr>
  </w:style>
  <w:style w:type="paragraph" w:styleId="6">
    <w:name w:val="Normal (Web)"/>
    <w:qFormat/>
    <w:uiPriority w:val="0"/>
    <w:pPr>
      <w:widowControl/>
      <w:spacing w:before="100" w:beforeAutospacing="1" w:after="100" w:afterAutospacing="1"/>
      <w:jc w:val="left"/>
    </w:pPr>
    <w:rPr>
      <w:rFonts w:ascii="宋体" w:hAnsi="宋体" w:cs="宋体" w:eastAsiaTheme="minorEastAsia"/>
      <w:kern w:val="0"/>
      <w:sz w:val="24"/>
      <w:szCs w:val="24"/>
      <w:lang w:val="en-US" w:eastAsia="zh-CN" w:bidi="ar-SA"/>
    </w:rPr>
  </w:style>
  <w:style w:type="character" w:styleId="9">
    <w:name w:val="Hyperlink"/>
    <w:basedOn w:val="8"/>
    <w:unhideWhenUsed/>
    <w:qFormat/>
    <w:uiPriority w:val="99"/>
    <w:rPr>
      <w:color w:val="0000FF" w:themeColor="hyperlink"/>
      <w:u w:val="single"/>
      <w14:textFill>
        <w14:solidFill>
          <w14:schemeClr w14:val="hlink"/>
        </w14:solidFill>
      </w14:textFill>
    </w:rPr>
  </w:style>
  <w:style w:type="paragraph" w:customStyle="1" w:styleId="10">
    <w:name w:val="BodyText1I2"/>
    <w:qFormat/>
    <w:uiPriority w:val="0"/>
    <w:pPr>
      <w:widowControl w:val="0"/>
      <w:spacing w:after="120"/>
      <w:ind w:left="420" w:leftChars="200" w:firstLine="420" w:firstLineChars="200"/>
      <w:jc w:val="both"/>
      <w:textAlignment w:val="baseline"/>
    </w:pPr>
    <w:rPr>
      <w:rFonts w:ascii="Calibri" w:hAnsi="Calibri" w:eastAsia="Times New Roman" w:cs="宋体"/>
      <w:kern w:val="2"/>
      <w:sz w:val="21"/>
      <w:szCs w:val="24"/>
      <w:lang w:val="en-US" w:eastAsia="zh-CN" w:bidi="ar-SA"/>
    </w:rPr>
  </w:style>
  <w:style w:type="paragraph" w:styleId="11">
    <w:name w:val="List Paragraph"/>
    <w:basedOn w:val="1"/>
    <w:qFormat/>
    <w:uiPriority w:val="34"/>
    <w:pPr>
      <w:ind w:firstLine="420" w:firstLineChars="200"/>
    </w:pPr>
  </w:style>
  <w:style w:type="paragraph" w:customStyle="1" w:styleId="12">
    <w:name w:val="Body text|1"/>
    <w:qFormat/>
    <w:uiPriority w:val="0"/>
    <w:pPr>
      <w:widowControl w:val="0"/>
      <w:spacing w:line="451" w:lineRule="auto"/>
      <w:ind w:firstLine="400"/>
      <w:jc w:val="both"/>
    </w:pPr>
    <w:rPr>
      <w:rFonts w:ascii="宋体" w:hAnsi="宋体" w:eastAsia="宋体" w:cs="宋体"/>
      <w:kern w:val="2"/>
      <w:sz w:val="28"/>
      <w:szCs w:val="28"/>
      <w:lang w:val="zh-TW" w:eastAsia="zh-TW" w:bidi="zh-TW"/>
    </w:rPr>
  </w:style>
  <w:style w:type="paragraph" w:customStyle="1" w:styleId="13">
    <w:name w:val="Other|1"/>
    <w:qFormat/>
    <w:uiPriority w:val="0"/>
    <w:pPr>
      <w:widowControl w:val="0"/>
      <w:spacing w:line="451" w:lineRule="auto"/>
      <w:ind w:firstLine="400"/>
      <w:jc w:val="both"/>
    </w:pPr>
    <w:rPr>
      <w:rFonts w:ascii="宋体" w:hAnsi="宋体" w:eastAsia="宋体" w:cs="宋体"/>
      <w:kern w:val="2"/>
      <w:sz w:val="28"/>
      <w:szCs w:val="28"/>
      <w:lang w:val="zh-TW" w:eastAsia="zh-TW" w:bidi="zh-TW"/>
    </w:rPr>
  </w:style>
  <w:style w:type="character" w:customStyle="1" w:styleId="14">
    <w:name w:val="NormalCharacter"/>
    <w:semiHidden/>
    <w:qFormat/>
    <w:uiPriority w:val="0"/>
    <w:rPr>
      <w:rFonts w:ascii="Times New Roman" w:hAnsi="Times New Roman" w:eastAsia="宋体" w:cs="Times New Roman"/>
    </w:rPr>
  </w:style>
  <w:style w:type="paragraph" w:customStyle="1" w:styleId="15">
    <w:name w:val="Table caption|1"/>
    <w:qFormat/>
    <w:uiPriority w:val="0"/>
    <w:pPr>
      <w:widowControl w:val="0"/>
      <w:jc w:val="both"/>
    </w:pPr>
    <w:rPr>
      <w:rFonts w:ascii="宋体" w:hAnsi="宋体" w:eastAsia="宋体" w:cs="宋体"/>
      <w:kern w:val="2"/>
      <w:sz w:val="22"/>
      <w:szCs w:val="22"/>
      <w:lang w:val="zh-TW" w:eastAsia="zh-TW" w:bidi="zh-TW"/>
    </w:rPr>
  </w:style>
  <w:style w:type="character" w:customStyle="1" w:styleId="16">
    <w:name w:val="font31"/>
    <w:qFormat/>
    <w:uiPriority w:val="0"/>
    <w:rPr>
      <w:rFonts w:hint="eastAsia" w:ascii="宋体" w:hAnsi="宋体" w:eastAsia="宋体" w:cs="宋体"/>
      <w:color w:val="000000"/>
      <w:sz w:val="20"/>
      <w:szCs w:val="20"/>
      <w:u w:val="none"/>
    </w:rPr>
  </w:style>
  <w:style w:type="character" w:customStyle="1" w:styleId="17">
    <w:name w:val="font01"/>
    <w:qFormat/>
    <w:uiPriority w:val="0"/>
    <w:rPr>
      <w:rFonts w:hint="eastAsia" w:ascii="宋体" w:hAnsi="宋体" w:eastAsia="宋体" w:cs="宋体"/>
      <w:color w:val="000000"/>
      <w:sz w:val="22"/>
      <w:szCs w:val="22"/>
      <w:u w:val="none"/>
    </w:rPr>
  </w:style>
  <w:style w:type="character" w:customStyle="1" w:styleId="18">
    <w:name w:val="font21"/>
    <w:qFormat/>
    <w:uiPriority w:val="0"/>
    <w:rPr>
      <w:rFonts w:hint="eastAsia" w:ascii="宋体" w:hAnsi="宋体" w:eastAsia="宋体" w:cs="宋体"/>
      <w:color w:val="000000"/>
      <w:sz w:val="22"/>
      <w:szCs w:val="22"/>
      <w:u w:val="none"/>
    </w:rPr>
  </w:style>
  <w:style w:type="paragraph" w:customStyle="1" w:styleId="19">
    <w:name w:val="Header or footer|1"/>
    <w:qFormat/>
    <w:uiPriority w:val="0"/>
    <w:pPr>
      <w:widowControl w:val="0"/>
      <w:jc w:val="both"/>
    </w:pPr>
    <w:rPr>
      <w:rFonts w:ascii="Times New Roman" w:hAnsi="Times New Roman" w:eastAsia="微软雅黑" w:cs="Times New Roman"/>
      <w:kern w:val="2"/>
      <w:sz w:val="30"/>
      <w:szCs w:val="30"/>
      <w:lang w:val="zh-TW" w:eastAsia="zh-TW" w:bidi="zh-TW"/>
    </w:rPr>
  </w:style>
  <w:style w:type="paragraph" w:customStyle="1" w:styleId="20">
    <w:name w:val="BodyTextIndent"/>
    <w:next w:val="10"/>
    <w:qFormat/>
    <w:uiPriority w:val="0"/>
    <w:pPr>
      <w:widowControl w:val="0"/>
      <w:spacing w:after="120"/>
      <w:ind w:left="420" w:leftChars="200"/>
      <w:jc w:val="both"/>
      <w:textAlignment w:val="baseline"/>
    </w:pPr>
    <w:rPr>
      <w:rFonts w:ascii="Calibri" w:hAnsi="Calibri" w:eastAsia="Times New Roman" w:cs="宋体"/>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7545</Words>
  <Characters>7847</Characters>
  <Lines>5</Lines>
  <Paragraphs>1</Paragraphs>
  <TotalTime>314</TotalTime>
  <ScaleCrop>false</ScaleCrop>
  <LinksUpToDate>false</LinksUpToDate>
  <CharactersWithSpaces>7883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2023-07-28T11:09:00Z</dcterms:created>
  <dc:creator>Administrator</dc:creator>
  <cp:lastModifiedBy>桂林物协</cp:lastModifiedBy>
  <cp:lastPrinted>2025-08-01T03:14:00Z</cp:lastPrinted>
  <dcterms:modified xsi:type="dcterms:W3CDTF">2025-08-01T09:06:26Z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A7285418816341DDB581A10DA5A1F111_13</vt:lpwstr>
  </property>
  <property fmtid="{D5CDD505-2E9C-101B-9397-08002B2CF9AE}" pid="4" name="KSOTemplateDocerSaveRecord">
    <vt:lpwstr>eyJoZGlkIjoiMjAyNTI0NTllNmY3MjE0NzFiMjM0NWM3YTczN2JmZDEiLCJ1c2VySWQiOiIxNTU2Mzc2MDkzIn0=</vt:lpwstr>
  </property>
</Properties>
</file>